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77" w:rsidRDefault="006A6577" w:rsidP="006A6577">
      <w:pPr>
        <w:rPr>
          <w:rFonts w:eastAsiaTheme="minorHAnsi" w:cs="Arial"/>
          <w:b/>
        </w:rPr>
      </w:pPr>
      <w:r>
        <w:rPr>
          <w:rFonts w:eastAsiaTheme="minorHAnsi" w:cs="Arial"/>
          <w:b/>
        </w:rPr>
        <w:t>Appendix 2 – Revised Action Plan</w:t>
      </w:r>
      <w:bookmarkStart w:id="0" w:name="_GoBack"/>
      <w:bookmarkEnd w:id="0"/>
    </w:p>
    <w:tbl>
      <w:tblPr>
        <w:tblStyle w:val="TableGrid21"/>
        <w:tblW w:w="15452" w:type="dxa"/>
        <w:tblInd w:w="-318" w:type="dxa"/>
        <w:tblLayout w:type="fixed"/>
        <w:tblLook w:val="04A0" w:firstRow="1" w:lastRow="0" w:firstColumn="1" w:lastColumn="0" w:noHBand="0" w:noVBand="1"/>
      </w:tblPr>
      <w:tblGrid>
        <w:gridCol w:w="1135"/>
        <w:gridCol w:w="3827"/>
        <w:gridCol w:w="1701"/>
        <w:gridCol w:w="4536"/>
        <w:gridCol w:w="2268"/>
        <w:gridCol w:w="1985"/>
      </w:tblGrid>
      <w:tr w:rsidR="006A6577" w:rsidRPr="00616763" w:rsidTr="00CD6642">
        <w:trPr>
          <w:trHeight w:val="423"/>
        </w:trPr>
        <w:tc>
          <w:tcPr>
            <w:tcW w:w="1135" w:type="dxa"/>
          </w:tcPr>
          <w:p w:rsidR="006A6577" w:rsidRPr="00616763" w:rsidRDefault="006A6577" w:rsidP="00CD6642">
            <w:pPr>
              <w:rPr>
                <w:b/>
                <w:sz w:val="22"/>
                <w:szCs w:val="22"/>
              </w:rPr>
            </w:pPr>
            <w:r w:rsidRPr="00616763">
              <w:rPr>
                <w:b/>
                <w:sz w:val="22"/>
                <w:szCs w:val="22"/>
              </w:rPr>
              <w:t>THEME</w:t>
            </w:r>
          </w:p>
        </w:tc>
        <w:tc>
          <w:tcPr>
            <w:tcW w:w="3827" w:type="dxa"/>
          </w:tcPr>
          <w:p w:rsidR="006A6577" w:rsidRPr="00616763" w:rsidRDefault="006A6577" w:rsidP="00CD6642">
            <w:pPr>
              <w:rPr>
                <w:b/>
                <w:sz w:val="22"/>
                <w:szCs w:val="22"/>
              </w:rPr>
            </w:pPr>
            <w:r w:rsidRPr="00616763">
              <w:rPr>
                <w:b/>
                <w:sz w:val="22"/>
                <w:szCs w:val="22"/>
              </w:rPr>
              <w:t>TASK</w:t>
            </w:r>
          </w:p>
        </w:tc>
        <w:tc>
          <w:tcPr>
            <w:tcW w:w="1701" w:type="dxa"/>
          </w:tcPr>
          <w:p w:rsidR="006A6577" w:rsidRPr="00616763" w:rsidRDefault="006A6577" w:rsidP="00CD6642">
            <w:pPr>
              <w:rPr>
                <w:b/>
                <w:sz w:val="22"/>
                <w:szCs w:val="22"/>
              </w:rPr>
            </w:pPr>
            <w:r w:rsidRPr="00616763">
              <w:rPr>
                <w:b/>
                <w:sz w:val="22"/>
                <w:szCs w:val="22"/>
              </w:rPr>
              <w:t>TIMESCALE</w:t>
            </w:r>
          </w:p>
        </w:tc>
        <w:tc>
          <w:tcPr>
            <w:tcW w:w="4536" w:type="dxa"/>
          </w:tcPr>
          <w:p w:rsidR="006A6577" w:rsidRPr="00616763" w:rsidRDefault="006A6577" w:rsidP="00CD6642">
            <w:pPr>
              <w:rPr>
                <w:b/>
                <w:sz w:val="22"/>
                <w:szCs w:val="22"/>
              </w:rPr>
            </w:pPr>
            <w:r w:rsidRPr="00616763">
              <w:rPr>
                <w:b/>
                <w:sz w:val="22"/>
                <w:szCs w:val="22"/>
              </w:rPr>
              <w:t>TARGET/OUTCOME</w:t>
            </w:r>
          </w:p>
        </w:tc>
        <w:tc>
          <w:tcPr>
            <w:tcW w:w="2268" w:type="dxa"/>
          </w:tcPr>
          <w:p w:rsidR="006A6577" w:rsidRPr="00616763" w:rsidRDefault="006A6577" w:rsidP="00CD6642">
            <w:pPr>
              <w:rPr>
                <w:b/>
                <w:sz w:val="22"/>
                <w:szCs w:val="22"/>
              </w:rPr>
            </w:pPr>
            <w:r w:rsidRPr="00616763">
              <w:rPr>
                <w:b/>
                <w:sz w:val="22"/>
                <w:szCs w:val="22"/>
              </w:rPr>
              <w:t>RESP.</w:t>
            </w:r>
          </w:p>
        </w:tc>
        <w:tc>
          <w:tcPr>
            <w:tcW w:w="1985" w:type="dxa"/>
          </w:tcPr>
          <w:p w:rsidR="006A6577" w:rsidRPr="00616763" w:rsidRDefault="006A6577" w:rsidP="00CD6642">
            <w:pPr>
              <w:rPr>
                <w:b/>
              </w:rPr>
            </w:pPr>
            <w:r w:rsidRPr="00616763">
              <w:rPr>
                <w:b/>
              </w:rPr>
              <w:t>DELIVERY PARTNERS</w:t>
            </w:r>
          </w:p>
        </w:tc>
      </w:tr>
      <w:tr w:rsidR="006A6577" w:rsidRPr="00616763" w:rsidTr="00CD6642">
        <w:trPr>
          <w:trHeight w:val="984"/>
        </w:trPr>
        <w:tc>
          <w:tcPr>
            <w:tcW w:w="1135" w:type="dxa"/>
            <w:vMerge w:val="restart"/>
            <w:shd w:val="clear" w:color="auto" w:fill="D9D9D9" w:themeFill="background1" w:themeFillShade="D9"/>
            <w:textDirection w:val="btLr"/>
          </w:tcPr>
          <w:p w:rsidR="006A6577" w:rsidRPr="00616763" w:rsidRDefault="006A6577" w:rsidP="00CD6642">
            <w:pPr>
              <w:ind w:left="113" w:right="113"/>
              <w:jc w:val="center"/>
              <w:rPr>
                <w:sz w:val="22"/>
                <w:szCs w:val="22"/>
              </w:rPr>
            </w:pPr>
            <w:r>
              <w:rPr>
                <w:sz w:val="22"/>
                <w:szCs w:val="22"/>
              </w:rPr>
              <w:t>CUSTOMER INSIGHT</w:t>
            </w: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1. </w:t>
            </w:r>
            <w:r w:rsidRPr="00616763">
              <w:rPr>
                <w:sz w:val="22"/>
                <w:szCs w:val="22"/>
              </w:rPr>
              <w:t>Develop a Dashboard to help monitor the impact of Welfare Reform and measure indicators of Financial Exclusion</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Aug 15</w:t>
            </w:r>
          </w:p>
        </w:tc>
        <w:tc>
          <w:tcPr>
            <w:tcW w:w="4536" w:type="dxa"/>
            <w:shd w:val="clear" w:color="auto" w:fill="D9D9D9" w:themeFill="background1" w:themeFillShade="D9"/>
          </w:tcPr>
          <w:p w:rsidR="006A6577" w:rsidRPr="00616763" w:rsidRDefault="006A6577" w:rsidP="00CD6642">
            <w:pPr>
              <w:rPr>
                <w:sz w:val="22"/>
                <w:szCs w:val="22"/>
              </w:rPr>
            </w:pPr>
            <w:r w:rsidRPr="00616763">
              <w:rPr>
                <w:sz w:val="22"/>
                <w:szCs w:val="22"/>
              </w:rPr>
              <w:t>By monitoring different sets of data</w:t>
            </w:r>
            <w:r>
              <w:rPr>
                <w:sz w:val="22"/>
                <w:szCs w:val="22"/>
              </w:rPr>
              <w:t xml:space="preserve"> together with customer feedback </w:t>
            </w:r>
            <w:r w:rsidRPr="00616763">
              <w:rPr>
                <w:sz w:val="22"/>
                <w:szCs w:val="22"/>
              </w:rPr>
              <w:t xml:space="preserve">, we can </w:t>
            </w:r>
            <w:r>
              <w:rPr>
                <w:sz w:val="22"/>
                <w:szCs w:val="22"/>
              </w:rPr>
              <w:t xml:space="preserve">better </w:t>
            </w:r>
            <w:r w:rsidRPr="00616763">
              <w:rPr>
                <w:sz w:val="22"/>
                <w:szCs w:val="22"/>
              </w:rPr>
              <w:t>prioritise resources and target interventions</w:t>
            </w: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R</w:t>
            </w:r>
            <w:r>
              <w:rPr>
                <w:sz w:val="22"/>
                <w:szCs w:val="22"/>
              </w:rPr>
              <w:t>evenues</w:t>
            </w:r>
            <w:r w:rsidRPr="00616763">
              <w:rPr>
                <w:sz w:val="22"/>
                <w:szCs w:val="22"/>
              </w:rPr>
              <w:t xml:space="preserve"> &amp; B</w:t>
            </w:r>
            <w:r>
              <w:rPr>
                <w:sz w:val="22"/>
                <w:szCs w:val="22"/>
              </w:rPr>
              <w:t>enefits</w:t>
            </w:r>
            <w:r w:rsidRPr="00616763">
              <w:rPr>
                <w:sz w:val="22"/>
                <w:szCs w:val="22"/>
              </w:rPr>
              <w:t xml:space="preserve"> Programme Manager</w:t>
            </w:r>
          </w:p>
        </w:tc>
        <w:tc>
          <w:tcPr>
            <w:tcW w:w="1985" w:type="dxa"/>
            <w:shd w:val="clear" w:color="auto" w:fill="D9D9D9" w:themeFill="background1" w:themeFillShade="D9"/>
          </w:tcPr>
          <w:p w:rsidR="006A6577" w:rsidRPr="00616763" w:rsidRDefault="006A6577" w:rsidP="00CD6642">
            <w:pPr>
              <w:rPr>
                <w:sz w:val="22"/>
                <w:szCs w:val="22"/>
              </w:rPr>
            </w:pPr>
            <w:r w:rsidRPr="00616763">
              <w:rPr>
                <w:sz w:val="22"/>
                <w:szCs w:val="22"/>
              </w:rPr>
              <w:t>J</w:t>
            </w:r>
            <w:r>
              <w:rPr>
                <w:sz w:val="22"/>
                <w:szCs w:val="22"/>
              </w:rPr>
              <w:t xml:space="preserve">obcentre Plus, </w:t>
            </w:r>
            <w:r w:rsidRPr="00616763">
              <w:rPr>
                <w:sz w:val="22"/>
                <w:szCs w:val="22"/>
              </w:rPr>
              <w:t>Housing, Advice Sector</w:t>
            </w:r>
          </w:p>
        </w:tc>
      </w:tr>
      <w:tr w:rsidR="006A6577" w:rsidRPr="00616763" w:rsidTr="00CD6642">
        <w:tc>
          <w:tcPr>
            <w:tcW w:w="1135" w:type="dxa"/>
            <w:vMerge/>
            <w:shd w:val="clear" w:color="auto" w:fill="D9D9D9" w:themeFill="background1" w:themeFillShade="D9"/>
            <w:textDirection w:val="btLr"/>
          </w:tcPr>
          <w:p w:rsidR="006A6577" w:rsidRPr="00616763" w:rsidRDefault="006A6577" w:rsidP="00CD6642">
            <w:pPr>
              <w:ind w:left="113" w:right="113"/>
              <w:jc w:val="center"/>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2. </w:t>
            </w:r>
            <w:r w:rsidRPr="00616763">
              <w:rPr>
                <w:sz w:val="22"/>
                <w:szCs w:val="22"/>
              </w:rPr>
              <w:t>Building on the triage tool used by the Welfare Reform Team</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On-going</w:t>
            </w:r>
          </w:p>
        </w:tc>
        <w:tc>
          <w:tcPr>
            <w:tcW w:w="4536" w:type="dxa"/>
            <w:shd w:val="clear" w:color="auto" w:fill="D9D9D9" w:themeFill="background1" w:themeFillShade="D9"/>
          </w:tcPr>
          <w:p w:rsidR="006A6577" w:rsidRPr="00616763" w:rsidRDefault="006A6577" w:rsidP="00CD6642">
            <w:pPr>
              <w:rPr>
                <w:sz w:val="22"/>
                <w:szCs w:val="22"/>
              </w:rPr>
            </w:pPr>
            <w:r w:rsidRPr="00616763">
              <w:rPr>
                <w:sz w:val="22"/>
                <w:szCs w:val="22"/>
              </w:rPr>
              <w:t>Continual improvement t</w:t>
            </w:r>
            <w:r>
              <w:rPr>
                <w:sz w:val="22"/>
                <w:szCs w:val="22"/>
              </w:rPr>
              <w:t>o</w:t>
            </w:r>
            <w:r w:rsidRPr="00616763">
              <w:rPr>
                <w:sz w:val="22"/>
                <w:szCs w:val="22"/>
              </w:rPr>
              <w:t xml:space="preserve"> triage process to ensure effective support </w:t>
            </w:r>
            <w:r>
              <w:rPr>
                <w:sz w:val="22"/>
                <w:szCs w:val="22"/>
              </w:rPr>
              <w:t xml:space="preserve">is delivered </w:t>
            </w:r>
            <w:r w:rsidRPr="00616763">
              <w:rPr>
                <w:sz w:val="22"/>
                <w:szCs w:val="22"/>
              </w:rPr>
              <w:t>to people affected by welfare reforms</w:t>
            </w: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Welfare Reform Manager</w:t>
            </w:r>
          </w:p>
        </w:tc>
        <w:tc>
          <w:tcPr>
            <w:tcW w:w="1985" w:type="dxa"/>
            <w:shd w:val="clear" w:color="auto" w:fill="D9D9D9" w:themeFill="background1" w:themeFillShade="D9"/>
          </w:tcPr>
          <w:p w:rsidR="006A6577" w:rsidRPr="00616763" w:rsidRDefault="006A6577" w:rsidP="00CD6642">
            <w:pPr>
              <w:rPr>
                <w:sz w:val="22"/>
                <w:szCs w:val="22"/>
              </w:rPr>
            </w:pPr>
            <w:r w:rsidRPr="00616763">
              <w:rPr>
                <w:sz w:val="22"/>
                <w:szCs w:val="22"/>
              </w:rPr>
              <w:t>Internal</w:t>
            </w:r>
          </w:p>
        </w:tc>
      </w:tr>
      <w:tr w:rsidR="006A6577" w:rsidRPr="00616763" w:rsidTr="00CD6642">
        <w:tc>
          <w:tcPr>
            <w:tcW w:w="1135" w:type="dxa"/>
            <w:vMerge w:val="restart"/>
            <w:textDirection w:val="btLr"/>
          </w:tcPr>
          <w:p w:rsidR="006A6577" w:rsidRPr="00616763" w:rsidRDefault="006A6577" w:rsidP="00CD6642">
            <w:pPr>
              <w:ind w:left="113" w:right="113"/>
              <w:jc w:val="center"/>
              <w:rPr>
                <w:sz w:val="22"/>
                <w:szCs w:val="22"/>
              </w:rPr>
            </w:pPr>
            <w:r w:rsidRPr="00616763">
              <w:rPr>
                <w:sz w:val="22"/>
                <w:szCs w:val="22"/>
              </w:rPr>
              <w:t>DEBT – Short Term</w:t>
            </w:r>
          </w:p>
        </w:tc>
        <w:tc>
          <w:tcPr>
            <w:tcW w:w="3827" w:type="dxa"/>
          </w:tcPr>
          <w:p w:rsidR="006A6577" w:rsidRPr="00616763" w:rsidRDefault="006A6577" w:rsidP="00CD6642">
            <w:pPr>
              <w:rPr>
                <w:sz w:val="22"/>
                <w:szCs w:val="22"/>
              </w:rPr>
            </w:pPr>
            <w:r>
              <w:rPr>
                <w:sz w:val="22"/>
                <w:szCs w:val="22"/>
              </w:rPr>
              <w:t xml:space="preserve">3. </w:t>
            </w:r>
            <w:r w:rsidRPr="00616763">
              <w:rPr>
                <w:sz w:val="22"/>
                <w:szCs w:val="22"/>
              </w:rPr>
              <w:t>Monitor and evaluate commissioned advice contracts.</w:t>
            </w:r>
          </w:p>
        </w:tc>
        <w:tc>
          <w:tcPr>
            <w:tcW w:w="1701" w:type="dxa"/>
          </w:tcPr>
          <w:p w:rsidR="006A6577" w:rsidRPr="00616763" w:rsidRDefault="006A6577" w:rsidP="00CD6642">
            <w:pPr>
              <w:rPr>
                <w:sz w:val="22"/>
                <w:szCs w:val="22"/>
              </w:rPr>
            </w:pPr>
            <w:r w:rsidRPr="00616763">
              <w:rPr>
                <w:sz w:val="22"/>
                <w:szCs w:val="22"/>
              </w:rPr>
              <w:t>On-going</w:t>
            </w:r>
          </w:p>
        </w:tc>
        <w:tc>
          <w:tcPr>
            <w:tcW w:w="4536" w:type="dxa"/>
          </w:tcPr>
          <w:p w:rsidR="006A6577" w:rsidRPr="00616763" w:rsidRDefault="006A6577" w:rsidP="00CD6642">
            <w:pPr>
              <w:rPr>
                <w:sz w:val="22"/>
                <w:szCs w:val="22"/>
              </w:rPr>
            </w:pPr>
            <w:r w:rsidRPr="00616763">
              <w:rPr>
                <w:sz w:val="22"/>
                <w:szCs w:val="22"/>
              </w:rPr>
              <w:t>Ensure advice specification is being delivered.</w:t>
            </w:r>
            <w:r>
              <w:rPr>
                <w:sz w:val="22"/>
                <w:szCs w:val="22"/>
              </w:rPr>
              <w:t xml:space="preserve"> </w:t>
            </w:r>
            <w:r w:rsidRPr="00616763">
              <w:rPr>
                <w:sz w:val="22"/>
                <w:szCs w:val="22"/>
              </w:rPr>
              <w:t>Learn from trends in advice work</w:t>
            </w:r>
          </w:p>
          <w:p w:rsidR="006A6577" w:rsidRPr="00616763" w:rsidRDefault="006A6577" w:rsidP="00CD6642">
            <w:pPr>
              <w:rPr>
                <w:sz w:val="22"/>
                <w:szCs w:val="22"/>
              </w:rPr>
            </w:pPr>
            <w:r w:rsidRPr="00616763">
              <w:rPr>
                <w:sz w:val="22"/>
                <w:szCs w:val="22"/>
              </w:rPr>
              <w:t>Use data to inform priority work area for 2016/17</w:t>
            </w:r>
          </w:p>
        </w:tc>
        <w:tc>
          <w:tcPr>
            <w:tcW w:w="2268" w:type="dxa"/>
          </w:tcPr>
          <w:p w:rsidR="006A6577" w:rsidRPr="00616763" w:rsidRDefault="006A6577" w:rsidP="00CD6642">
            <w:pPr>
              <w:rPr>
                <w:sz w:val="22"/>
                <w:szCs w:val="22"/>
              </w:rPr>
            </w:pPr>
            <w:r w:rsidRPr="00616763">
              <w:rPr>
                <w:sz w:val="22"/>
                <w:szCs w:val="22"/>
              </w:rPr>
              <w:t>R&amp;B Programme Manager</w:t>
            </w:r>
          </w:p>
        </w:tc>
        <w:tc>
          <w:tcPr>
            <w:tcW w:w="1985" w:type="dxa"/>
          </w:tcPr>
          <w:p w:rsidR="006A6577" w:rsidRPr="00616763" w:rsidRDefault="006A6577" w:rsidP="00CD6642">
            <w:pPr>
              <w:rPr>
                <w:sz w:val="22"/>
                <w:szCs w:val="22"/>
              </w:rPr>
            </w:pPr>
            <w:r w:rsidRPr="00616763">
              <w:rPr>
                <w:sz w:val="22"/>
                <w:szCs w:val="22"/>
              </w:rPr>
              <w:t>Advice Sector, County Council</w:t>
            </w:r>
          </w:p>
        </w:tc>
      </w:tr>
      <w:tr w:rsidR="006A6577" w:rsidRPr="00616763" w:rsidTr="00CD6642">
        <w:tc>
          <w:tcPr>
            <w:tcW w:w="1135" w:type="dxa"/>
            <w:vMerge/>
            <w:textDirection w:val="btLr"/>
          </w:tcPr>
          <w:p w:rsidR="006A6577" w:rsidRPr="00616763" w:rsidRDefault="006A6577" w:rsidP="00CD6642">
            <w:pPr>
              <w:ind w:left="113" w:right="113"/>
              <w:jc w:val="center"/>
              <w:rPr>
                <w:sz w:val="22"/>
                <w:szCs w:val="22"/>
              </w:rPr>
            </w:pPr>
          </w:p>
        </w:tc>
        <w:tc>
          <w:tcPr>
            <w:tcW w:w="3827" w:type="dxa"/>
          </w:tcPr>
          <w:p w:rsidR="006A6577" w:rsidRPr="00616763" w:rsidRDefault="006A6577" w:rsidP="00CD6642">
            <w:pPr>
              <w:rPr>
                <w:sz w:val="22"/>
                <w:szCs w:val="22"/>
              </w:rPr>
            </w:pPr>
            <w:r>
              <w:rPr>
                <w:sz w:val="22"/>
                <w:szCs w:val="22"/>
              </w:rPr>
              <w:t xml:space="preserve">4. </w:t>
            </w:r>
            <w:r w:rsidRPr="00616763">
              <w:rPr>
                <w:sz w:val="22"/>
                <w:szCs w:val="22"/>
              </w:rPr>
              <w:t>Rents Team to trial Pay Plan for providing debt advice</w:t>
            </w:r>
          </w:p>
        </w:tc>
        <w:tc>
          <w:tcPr>
            <w:tcW w:w="1701" w:type="dxa"/>
          </w:tcPr>
          <w:p w:rsidR="006A6577" w:rsidRPr="00616763" w:rsidRDefault="006A6577" w:rsidP="00CD6642">
            <w:pPr>
              <w:rPr>
                <w:sz w:val="22"/>
                <w:szCs w:val="22"/>
              </w:rPr>
            </w:pPr>
            <w:r w:rsidRPr="00616763">
              <w:rPr>
                <w:sz w:val="22"/>
                <w:szCs w:val="22"/>
              </w:rPr>
              <w:t>Oct 15</w:t>
            </w:r>
          </w:p>
        </w:tc>
        <w:tc>
          <w:tcPr>
            <w:tcW w:w="4536" w:type="dxa"/>
          </w:tcPr>
          <w:p w:rsidR="006A6577" w:rsidRPr="00616763" w:rsidRDefault="006A6577" w:rsidP="00CD6642">
            <w:pPr>
              <w:rPr>
                <w:sz w:val="22"/>
                <w:szCs w:val="22"/>
              </w:rPr>
            </w:pPr>
            <w:r w:rsidRPr="00616763">
              <w:rPr>
                <w:sz w:val="22"/>
                <w:szCs w:val="22"/>
              </w:rPr>
              <w:t>Establish whether Pay Plan is an effective provider of debt advice for our customers</w:t>
            </w:r>
          </w:p>
        </w:tc>
        <w:tc>
          <w:tcPr>
            <w:tcW w:w="2268" w:type="dxa"/>
          </w:tcPr>
          <w:p w:rsidR="006A6577" w:rsidRPr="00616763" w:rsidRDefault="006A6577" w:rsidP="00CD6642">
            <w:pPr>
              <w:rPr>
                <w:sz w:val="22"/>
                <w:szCs w:val="22"/>
              </w:rPr>
            </w:pPr>
            <w:r w:rsidRPr="00616763">
              <w:rPr>
                <w:sz w:val="22"/>
                <w:szCs w:val="22"/>
              </w:rPr>
              <w:t>Rents Manager</w:t>
            </w:r>
          </w:p>
        </w:tc>
        <w:tc>
          <w:tcPr>
            <w:tcW w:w="1985" w:type="dxa"/>
          </w:tcPr>
          <w:p w:rsidR="006A6577" w:rsidRPr="00616763" w:rsidRDefault="006A6577" w:rsidP="00CD6642">
            <w:pPr>
              <w:rPr>
                <w:sz w:val="22"/>
                <w:szCs w:val="22"/>
              </w:rPr>
            </w:pPr>
            <w:r w:rsidRPr="00616763">
              <w:rPr>
                <w:sz w:val="22"/>
                <w:szCs w:val="22"/>
              </w:rPr>
              <w:t>Pay Plan</w:t>
            </w:r>
          </w:p>
        </w:tc>
      </w:tr>
      <w:tr w:rsidR="006A6577" w:rsidRPr="00616763" w:rsidTr="00CD6642">
        <w:trPr>
          <w:trHeight w:val="79"/>
        </w:trPr>
        <w:tc>
          <w:tcPr>
            <w:tcW w:w="1135" w:type="dxa"/>
            <w:vMerge w:val="restart"/>
            <w:shd w:val="clear" w:color="auto" w:fill="D9D9D9" w:themeFill="background1" w:themeFillShade="D9"/>
            <w:textDirection w:val="btLr"/>
          </w:tcPr>
          <w:p w:rsidR="006A6577" w:rsidRPr="00616763" w:rsidRDefault="006A6577" w:rsidP="00CD6642">
            <w:pPr>
              <w:ind w:left="113" w:right="113"/>
              <w:jc w:val="center"/>
              <w:rPr>
                <w:sz w:val="22"/>
                <w:szCs w:val="22"/>
              </w:rPr>
            </w:pPr>
            <w:r w:rsidRPr="00616763">
              <w:rPr>
                <w:sz w:val="22"/>
                <w:szCs w:val="22"/>
              </w:rPr>
              <w:t>DEBT – Long Term</w:t>
            </w: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5. </w:t>
            </w:r>
            <w:r w:rsidRPr="00616763">
              <w:rPr>
                <w:sz w:val="22"/>
                <w:szCs w:val="22"/>
              </w:rPr>
              <w:t>Use delivery of Universal Support to build a model for personal budgeting support, and consider options for delivery when U</w:t>
            </w:r>
            <w:r>
              <w:rPr>
                <w:sz w:val="22"/>
                <w:szCs w:val="22"/>
              </w:rPr>
              <w:t>niversal Credit (U</w:t>
            </w:r>
            <w:r w:rsidRPr="00616763">
              <w:rPr>
                <w:sz w:val="22"/>
                <w:szCs w:val="22"/>
              </w:rPr>
              <w:t>C</w:t>
            </w:r>
            <w:r>
              <w:rPr>
                <w:sz w:val="22"/>
                <w:szCs w:val="22"/>
              </w:rPr>
              <w:t>)</w:t>
            </w:r>
            <w:r w:rsidRPr="00616763">
              <w:rPr>
                <w:sz w:val="22"/>
                <w:szCs w:val="22"/>
              </w:rPr>
              <w:t xml:space="preserve"> rollout increases.</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By Mar 15</w:t>
            </w:r>
          </w:p>
        </w:tc>
        <w:tc>
          <w:tcPr>
            <w:tcW w:w="4536" w:type="dxa"/>
            <w:shd w:val="clear" w:color="auto" w:fill="D9D9D9" w:themeFill="background1" w:themeFillShade="D9"/>
          </w:tcPr>
          <w:p w:rsidR="006A6577" w:rsidRPr="00616763" w:rsidRDefault="006A6577" w:rsidP="00CD6642">
            <w:pPr>
              <w:rPr>
                <w:sz w:val="22"/>
                <w:szCs w:val="22"/>
              </w:rPr>
            </w:pPr>
            <w:r w:rsidRPr="00616763">
              <w:rPr>
                <w:sz w:val="22"/>
                <w:szCs w:val="22"/>
              </w:rPr>
              <w:t>Customers migrating to UC are able to manage the monthly payment without getting into rent arrears.</w:t>
            </w: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R&amp;B Programme Manager</w:t>
            </w:r>
          </w:p>
        </w:tc>
        <w:tc>
          <w:tcPr>
            <w:tcW w:w="1985" w:type="dxa"/>
            <w:shd w:val="clear" w:color="auto" w:fill="D9D9D9" w:themeFill="background1" w:themeFillShade="D9"/>
          </w:tcPr>
          <w:p w:rsidR="006A6577" w:rsidRPr="00616763" w:rsidRDefault="006A6577" w:rsidP="00CD6642">
            <w:pPr>
              <w:rPr>
                <w:sz w:val="22"/>
                <w:szCs w:val="22"/>
              </w:rPr>
            </w:pPr>
            <w:r w:rsidRPr="00616763">
              <w:rPr>
                <w:sz w:val="22"/>
                <w:szCs w:val="22"/>
              </w:rPr>
              <w:t>UC Project Team</w:t>
            </w:r>
          </w:p>
        </w:tc>
      </w:tr>
      <w:tr w:rsidR="006A6577" w:rsidRPr="00616763" w:rsidTr="00CD6642">
        <w:tc>
          <w:tcPr>
            <w:tcW w:w="1135" w:type="dxa"/>
            <w:vMerge/>
            <w:shd w:val="clear" w:color="auto" w:fill="D9D9D9" w:themeFill="background1" w:themeFillShade="D9"/>
          </w:tcPr>
          <w:p w:rsidR="006A6577" w:rsidRPr="00616763" w:rsidRDefault="006A6577" w:rsidP="00CD6642">
            <w:pPr>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6. </w:t>
            </w:r>
            <w:r w:rsidRPr="00616763">
              <w:rPr>
                <w:sz w:val="22"/>
                <w:szCs w:val="22"/>
              </w:rPr>
              <w:t>Develop an integrated approach to recovery of different Council debts</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By Dec 15</w:t>
            </w:r>
          </w:p>
        </w:tc>
        <w:tc>
          <w:tcPr>
            <w:tcW w:w="4536" w:type="dxa"/>
            <w:shd w:val="clear" w:color="auto" w:fill="D9D9D9" w:themeFill="background1" w:themeFillShade="D9"/>
          </w:tcPr>
          <w:p w:rsidR="006A6577" w:rsidRPr="00616763" w:rsidRDefault="006A6577" w:rsidP="00CD6642">
            <w:pPr>
              <w:rPr>
                <w:sz w:val="22"/>
                <w:szCs w:val="22"/>
              </w:rPr>
            </w:pPr>
            <w:r w:rsidRPr="00616763">
              <w:rPr>
                <w:sz w:val="22"/>
                <w:szCs w:val="22"/>
              </w:rPr>
              <w:t>To ensure all Council debts are considered when making payment arrangements and to ensure customers are referred for debt advice and budgeting support where appropriate.</w:t>
            </w:r>
          </w:p>
          <w:p w:rsidR="006A6577" w:rsidRPr="00616763" w:rsidRDefault="006A6577" w:rsidP="00CD6642">
            <w:pPr>
              <w:rPr>
                <w:sz w:val="22"/>
                <w:szCs w:val="22"/>
              </w:rPr>
            </w:pPr>
            <w:r w:rsidRPr="00616763">
              <w:rPr>
                <w:sz w:val="22"/>
                <w:szCs w:val="22"/>
              </w:rPr>
              <w:t>Work towards providing a single view of customer debts.</w:t>
            </w: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R&amp;B Service Manager</w:t>
            </w:r>
          </w:p>
        </w:tc>
        <w:tc>
          <w:tcPr>
            <w:tcW w:w="1985" w:type="dxa"/>
            <w:shd w:val="clear" w:color="auto" w:fill="D9D9D9" w:themeFill="background1" w:themeFillShade="D9"/>
          </w:tcPr>
          <w:p w:rsidR="006A6577" w:rsidRPr="00616763" w:rsidRDefault="006A6577" w:rsidP="00CD6642">
            <w:pPr>
              <w:rPr>
                <w:sz w:val="22"/>
                <w:szCs w:val="22"/>
              </w:rPr>
            </w:pPr>
            <w:r w:rsidRPr="00616763">
              <w:rPr>
                <w:sz w:val="22"/>
                <w:szCs w:val="22"/>
              </w:rPr>
              <w:t>N/A</w:t>
            </w:r>
          </w:p>
        </w:tc>
      </w:tr>
      <w:tr w:rsidR="006A6577" w:rsidRPr="00616763" w:rsidTr="00CD6642">
        <w:trPr>
          <w:trHeight w:val="77"/>
        </w:trPr>
        <w:tc>
          <w:tcPr>
            <w:tcW w:w="1135" w:type="dxa"/>
            <w:vMerge/>
            <w:shd w:val="clear" w:color="auto" w:fill="D9D9D9" w:themeFill="background1" w:themeFillShade="D9"/>
          </w:tcPr>
          <w:p w:rsidR="006A6577" w:rsidRPr="00616763" w:rsidRDefault="006A6577" w:rsidP="00CD6642">
            <w:pPr>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7. Consider the Council’s strategic approach to credit unions in light of the recommendations in the independent report </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Review completed by Jun 15</w:t>
            </w:r>
          </w:p>
        </w:tc>
        <w:tc>
          <w:tcPr>
            <w:tcW w:w="4536" w:type="dxa"/>
            <w:shd w:val="clear" w:color="auto" w:fill="D9D9D9" w:themeFill="background1" w:themeFillShade="D9"/>
          </w:tcPr>
          <w:p w:rsidR="006A6577" w:rsidRPr="00616763" w:rsidRDefault="006A6577" w:rsidP="00CD6642">
            <w:pPr>
              <w:rPr>
                <w:sz w:val="22"/>
                <w:szCs w:val="22"/>
              </w:rPr>
            </w:pPr>
            <w:r>
              <w:rPr>
                <w:sz w:val="22"/>
                <w:szCs w:val="22"/>
              </w:rPr>
              <w:t>Agree approach</w:t>
            </w: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R&amp;B Programme Manager</w:t>
            </w:r>
          </w:p>
        </w:tc>
        <w:tc>
          <w:tcPr>
            <w:tcW w:w="1985" w:type="dxa"/>
            <w:shd w:val="clear" w:color="auto" w:fill="D9D9D9" w:themeFill="background1" w:themeFillShade="D9"/>
          </w:tcPr>
          <w:p w:rsidR="006A6577" w:rsidRPr="00616763" w:rsidRDefault="006A6577" w:rsidP="00CD6642">
            <w:pPr>
              <w:rPr>
                <w:sz w:val="22"/>
                <w:szCs w:val="22"/>
              </w:rPr>
            </w:pPr>
            <w:r w:rsidRPr="00616763">
              <w:rPr>
                <w:sz w:val="22"/>
                <w:szCs w:val="22"/>
              </w:rPr>
              <w:t xml:space="preserve">Oxfordshire Credit Union, Blackbird Leys Credit Union </w:t>
            </w:r>
          </w:p>
        </w:tc>
      </w:tr>
      <w:tr w:rsidR="006A6577" w:rsidRPr="00616763" w:rsidTr="00CD6642">
        <w:tc>
          <w:tcPr>
            <w:tcW w:w="1135" w:type="dxa"/>
            <w:vMerge/>
            <w:shd w:val="clear" w:color="auto" w:fill="D9D9D9" w:themeFill="background1" w:themeFillShade="D9"/>
          </w:tcPr>
          <w:p w:rsidR="006A6577" w:rsidRPr="00616763" w:rsidRDefault="006A6577" w:rsidP="00CD6642">
            <w:pPr>
              <w:rPr>
                <w:sz w:val="22"/>
                <w:szCs w:val="22"/>
              </w:rPr>
            </w:pPr>
          </w:p>
        </w:tc>
        <w:tc>
          <w:tcPr>
            <w:tcW w:w="3827"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TASK</w:t>
            </w:r>
          </w:p>
        </w:tc>
        <w:tc>
          <w:tcPr>
            <w:tcW w:w="1701"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TIMESCALE</w:t>
            </w:r>
          </w:p>
        </w:tc>
        <w:tc>
          <w:tcPr>
            <w:tcW w:w="4536"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TARGET/OUTCOME</w:t>
            </w:r>
          </w:p>
        </w:tc>
        <w:tc>
          <w:tcPr>
            <w:tcW w:w="2268"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RESPONSIBLITY</w:t>
            </w:r>
          </w:p>
        </w:tc>
        <w:tc>
          <w:tcPr>
            <w:tcW w:w="1985"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DELIVERY PARTNERS</w:t>
            </w:r>
          </w:p>
        </w:tc>
      </w:tr>
      <w:tr w:rsidR="006A6577" w:rsidRPr="00616763" w:rsidTr="00CD6642">
        <w:tc>
          <w:tcPr>
            <w:tcW w:w="1135" w:type="dxa"/>
            <w:vMerge/>
            <w:shd w:val="clear" w:color="auto" w:fill="D9D9D9" w:themeFill="background1" w:themeFillShade="D9"/>
          </w:tcPr>
          <w:p w:rsidR="006A6577" w:rsidRPr="00616763" w:rsidRDefault="006A6577" w:rsidP="00CD6642">
            <w:pPr>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8. </w:t>
            </w:r>
            <w:r w:rsidRPr="00616763">
              <w:rPr>
                <w:sz w:val="22"/>
                <w:szCs w:val="22"/>
              </w:rPr>
              <w:t>Support customers without bank accounts to access basic banking services</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By Oct 15</w:t>
            </w:r>
          </w:p>
        </w:tc>
        <w:tc>
          <w:tcPr>
            <w:tcW w:w="4536" w:type="dxa"/>
            <w:shd w:val="clear" w:color="auto" w:fill="D9D9D9" w:themeFill="background1" w:themeFillShade="D9"/>
          </w:tcPr>
          <w:p w:rsidR="006A6577" w:rsidRPr="00616763" w:rsidRDefault="006A6577" w:rsidP="00CD6642">
            <w:pPr>
              <w:rPr>
                <w:sz w:val="22"/>
                <w:szCs w:val="22"/>
              </w:rPr>
            </w:pPr>
            <w:r w:rsidRPr="00616763">
              <w:rPr>
                <w:sz w:val="22"/>
                <w:szCs w:val="22"/>
              </w:rPr>
              <w:t>Reduce number of unbanked residents</w:t>
            </w:r>
          </w:p>
          <w:p w:rsidR="006A6577" w:rsidRPr="00616763" w:rsidRDefault="006A6577" w:rsidP="00CD6642">
            <w:pPr>
              <w:rPr>
                <w:sz w:val="22"/>
                <w:szCs w:val="22"/>
              </w:rPr>
            </w:pPr>
            <w:r w:rsidRPr="00616763">
              <w:rPr>
                <w:sz w:val="22"/>
                <w:szCs w:val="22"/>
              </w:rPr>
              <w:t xml:space="preserve">Increase </w:t>
            </w:r>
            <w:r>
              <w:rPr>
                <w:sz w:val="22"/>
                <w:szCs w:val="22"/>
              </w:rPr>
              <w:t xml:space="preserve">% </w:t>
            </w:r>
            <w:r w:rsidRPr="00616763">
              <w:rPr>
                <w:sz w:val="22"/>
                <w:szCs w:val="22"/>
              </w:rPr>
              <w:t>of payments made in respect of Council services by DD and BACS transfer.</w:t>
            </w: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R&amp;B Programme Manager</w:t>
            </w:r>
          </w:p>
        </w:tc>
        <w:tc>
          <w:tcPr>
            <w:tcW w:w="1985" w:type="dxa"/>
            <w:shd w:val="clear" w:color="auto" w:fill="D9D9D9" w:themeFill="background1" w:themeFillShade="D9"/>
          </w:tcPr>
          <w:p w:rsidR="006A6577" w:rsidRPr="00616763" w:rsidRDefault="006A6577" w:rsidP="00CD6642">
            <w:pPr>
              <w:rPr>
                <w:sz w:val="22"/>
                <w:szCs w:val="22"/>
              </w:rPr>
            </w:pPr>
            <w:r w:rsidRPr="00616763">
              <w:rPr>
                <w:sz w:val="22"/>
                <w:szCs w:val="22"/>
              </w:rPr>
              <w:t>Head of Finance, Barclays</w:t>
            </w:r>
          </w:p>
        </w:tc>
      </w:tr>
      <w:tr w:rsidR="006A6577" w:rsidRPr="00616763" w:rsidTr="00CD6642">
        <w:tc>
          <w:tcPr>
            <w:tcW w:w="1135" w:type="dxa"/>
            <w:vMerge/>
            <w:shd w:val="clear" w:color="auto" w:fill="D9D9D9" w:themeFill="background1" w:themeFillShade="D9"/>
          </w:tcPr>
          <w:p w:rsidR="006A6577" w:rsidRPr="00616763" w:rsidRDefault="006A6577" w:rsidP="00CD6642">
            <w:pPr>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9. </w:t>
            </w:r>
            <w:r w:rsidRPr="00616763">
              <w:rPr>
                <w:sz w:val="22"/>
                <w:szCs w:val="22"/>
              </w:rPr>
              <w:t>Establishment a citywide Financial Inclusion</w:t>
            </w:r>
            <w:r>
              <w:rPr>
                <w:sz w:val="22"/>
                <w:szCs w:val="22"/>
              </w:rPr>
              <w:t>(FI)</w:t>
            </w:r>
            <w:r w:rsidRPr="00616763">
              <w:rPr>
                <w:sz w:val="22"/>
                <w:szCs w:val="22"/>
              </w:rPr>
              <w:t xml:space="preserve"> Partnership</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By Jul 15</w:t>
            </w:r>
          </w:p>
        </w:tc>
        <w:tc>
          <w:tcPr>
            <w:tcW w:w="4536" w:type="dxa"/>
            <w:shd w:val="clear" w:color="auto" w:fill="D9D9D9" w:themeFill="background1" w:themeFillShade="D9"/>
          </w:tcPr>
          <w:p w:rsidR="006A6577" w:rsidRPr="00616763" w:rsidRDefault="006A6577" w:rsidP="00CD6642">
            <w:pPr>
              <w:rPr>
                <w:sz w:val="22"/>
                <w:szCs w:val="22"/>
              </w:rPr>
            </w:pPr>
            <w:r w:rsidRPr="00616763">
              <w:rPr>
                <w:sz w:val="22"/>
                <w:szCs w:val="22"/>
              </w:rPr>
              <w:t>Work with partners in the most effective way to ensure Financial Inclusion issues are effectively tackled.</w:t>
            </w:r>
            <w:r>
              <w:rPr>
                <w:sz w:val="22"/>
                <w:szCs w:val="22"/>
              </w:rPr>
              <w:t xml:space="preserve"> </w:t>
            </w:r>
            <w:r w:rsidRPr="00616763">
              <w:rPr>
                <w:sz w:val="22"/>
                <w:szCs w:val="22"/>
              </w:rPr>
              <w:t>Agree citywide objectives and measures for F</w:t>
            </w:r>
            <w:r>
              <w:rPr>
                <w:sz w:val="22"/>
                <w:szCs w:val="22"/>
              </w:rPr>
              <w:t>I</w:t>
            </w: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R&amp;B Programme Manager</w:t>
            </w:r>
          </w:p>
        </w:tc>
        <w:tc>
          <w:tcPr>
            <w:tcW w:w="1985" w:type="dxa"/>
            <w:shd w:val="clear" w:color="auto" w:fill="D9D9D9" w:themeFill="background1" w:themeFillShade="D9"/>
          </w:tcPr>
          <w:p w:rsidR="006A6577" w:rsidRPr="00616763" w:rsidRDefault="006A6577" w:rsidP="00CD6642">
            <w:pPr>
              <w:rPr>
                <w:sz w:val="22"/>
                <w:szCs w:val="22"/>
              </w:rPr>
            </w:pPr>
            <w:r w:rsidRPr="00616763">
              <w:rPr>
                <w:sz w:val="22"/>
                <w:szCs w:val="22"/>
              </w:rPr>
              <w:t>Various</w:t>
            </w:r>
          </w:p>
        </w:tc>
      </w:tr>
      <w:tr w:rsidR="006A6577" w:rsidRPr="00616763" w:rsidTr="00CD6642">
        <w:tc>
          <w:tcPr>
            <w:tcW w:w="1135" w:type="dxa"/>
            <w:vMerge/>
            <w:shd w:val="clear" w:color="auto" w:fill="D9D9D9" w:themeFill="background1" w:themeFillShade="D9"/>
          </w:tcPr>
          <w:p w:rsidR="006A6577" w:rsidRPr="00616763" w:rsidRDefault="006A6577" w:rsidP="00CD6642">
            <w:pPr>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11. </w:t>
            </w:r>
            <w:r w:rsidRPr="00616763">
              <w:rPr>
                <w:sz w:val="22"/>
                <w:szCs w:val="22"/>
              </w:rPr>
              <w:t>Investigate why sanctions in Oxford are significantly above the national average, and agree an action plan to reduce them.</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Dec15</w:t>
            </w:r>
          </w:p>
        </w:tc>
        <w:tc>
          <w:tcPr>
            <w:tcW w:w="4536" w:type="dxa"/>
            <w:shd w:val="clear" w:color="auto" w:fill="D9D9D9" w:themeFill="background1" w:themeFillShade="D9"/>
          </w:tcPr>
          <w:p w:rsidR="006A6577" w:rsidRPr="00616763" w:rsidRDefault="006A6577" w:rsidP="00CD6642">
            <w:pPr>
              <w:rPr>
                <w:sz w:val="22"/>
                <w:szCs w:val="22"/>
              </w:rPr>
            </w:pPr>
            <w:r w:rsidRPr="00616763">
              <w:rPr>
                <w:sz w:val="22"/>
                <w:szCs w:val="22"/>
              </w:rPr>
              <w:t>Reduce the number of sanctions issued in Oxford.</w:t>
            </w: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R &amp; B Programme Manager</w:t>
            </w:r>
          </w:p>
        </w:tc>
        <w:tc>
          <w:tcPr>
            <w:tcW w:w="1985" w:type="dxa"/>
            <w:shd w:val="clear" w:color="auto" w:fill="D9D9D9" w:themeFill="background1" w:themeFillShade="D9"/>
          </w:tcPr>
          <w:p w:rsidR="006A6577" w:rsidRPr="00616763" w:rsidRDefault="006A6577" w:rsidP="00CD6642">
            <w:pPr>
              <w:rPr>
                <w:sz w:val="22"/>
                <w:szCs w:val="22"/>
              </w:rPr>
            </w:pPr>
            <w:r w:rsidRPr="00616763">
              <w:rPr>
                <w:sz w:val="22"/>
                <w:szCs w:val="22"/>
              </w:rPr>
              <w:t>JCP</w:t>
            </w:r>
          </w:p>
        </w:tc>
      </w:tr>
      <w:tr w:rsidR="006A6577" w:rsidRPr="00616763" w:rsidTr="00CD6642">
        <w:trPr>
          <w:cantSplit/>
          <w:trHeight w:val="1061"/>
        </w:trPr>
        <w:tc>
          <w:tcPr>
            <w:tcW w:w="1135" w:type="dxa"/>
            <w:textDirection w:val="btLr"/>
          </w:tcPr>
          <w:p w:rsidR="006A6577" w:rsidRPr="00616763" w:rsidRDefault="006A6577" w:rsidP="00CD6642">
            <w:pPr>
              <w:ind w:left="113" w:right="113"/>
              <w:rPr>
                <w:sz w:val="22"/>
                <w:szCs w:val="22"/>
              </w:rPr>
            </w:pPr>
            <w:r w:rsidRPr="00616763">
              <w:rPr>
                <w:sz w:val="22"/>
                <w:szCs w:val="22"/>
              </w:rPr>
              <w:t>INCOME – Short Term</w:t>
            </w:r>
          </w:p>
        </w:tc>
        <w:tc>
          <w:tcPr>
            <w:tcW w:w="3827" w:type="dxa"/>
          </w:tcPr>
          <w:p w:rsidR="006A6577" w:rsidRDefault="006A6577" w:rsidP="00CD6642">
            <w:pPr>
              <w:rPr>
                <w:sz w:val="22"/>
                <w:szCs w:val="22"/>
              </w:rPr>
            </w:pPr>
            <w:r>
              <w:rPr>
                <w:sz w:val="22"/>
                <w:szCs w:val="22"/>
              </w:rPr>
              <w:t>12</w:t>
            </w:r>
            <w:proofErr w:type="gramStart"/>
            <w:r>
              <w:rPr>
                <w:sz w:val="22"/>
                <w:szCs w:val="22"/>
              </w:rPr>
              <w:t>.Develop</w:t>
            </w:r>
            <w:proofErr w:type="gramEnd"/>
            <w:r>
              <w:rPr>
                <w:sz w:val="22"/>
                <w:szCs w:val="22"/>
              </w:rPr>
              <w:t xml:space="preserve"> </w:t>
            </w:r>
            <w:r w:rsidRPr="00616763">
              <w:rPr>
                <w:sz w:val="22"/>
                <w:szCs w:val="22"/>
              </w:rPr>
              <w:t xml:space="preserve">training package </w:t>
            </w:r>
            <w:r>
              <w:rPr>
                <w:sz w:val="22"/>
                <w:szCs w:val="22"/>
              </w:rPr>
              <w:t>s</w:t>
            </w:r>
            <w:r w:rsidRPr="00616763">
              <w:rPr>
                <w:sz w:val="22"/>
                <w:szCs w:val="22"/>
              </w:rPr>
              <w:t>o relevant staff can identify people at risk of financial exclusion, and deal with them in a consistent manner.</w:t>
            </w:r>
          </w:p>
          <w:p w:rsidR="006A6577" w:rsidRPr="00616763" w:rsidRDefault="006A6577" w:rsidP="00CD6642">
            <w:pPr>
              <w:rPr>
                <w:sz w:val="22"/>
                <w:szCs w:val="22"/>
              </w:rPr>
            </w:pPr>
          </w:p>
        </w:tc>
        <w:tc>
          <w:tcPr>
            <w:tcW w:w="1701" w:type="dxa"/>
          </w:tcPr>
          <w:p w:rsidR="006A6577" w:rsidRPr="00616763" w:rsidRDefault="006A6577" w:rsidP="00CD6642">
            <w:pPr>
              <w:rPr>
                <w:sz w:val="22"/>
                <w:szCs w:val="22"/>
              </w:rPr>
            </w:pPr>
            <w:r w:rsidRPr="00616763">
              <w:rPr>
                <w:sz w:val="22"/>
                <w:szCs w:val="22"/>
              </w:rPr>
              <w:t>By Jan 16</w:t>
            </w:r>
          </w:p>
        </w:tc>
        <w:tc>
          <w:tcPr>
            <w:tcW w:w="4536" w:type="dxa"/>
          </w:tcPr>
          <w:p w:rsidR="006A6577" w:rsidRPr="00616763" w:rsidRDefault="006A6577" w:rsidP="00CD6642">
            <w:pPr>
              <w:rPr>
                <w:sz w:val="22"/>
                <w:szCs w:val="22"/>
              </w:rPr>
            </w:pPr>
            <w:r w:rsidRPr="00616763">
              <w:rPr>
                <w:sz w:val="22"/>
                <w:szCs w:val="22"/>
              </w:rPr>
              <w:t xml:space="preserve">Customers correctly referred for internal or external support. </w:t>
            </w:r>
          </w:p>
          <w:p w:rsidR="006A6577" w:rsidRPr="00616763" w:rsidRDefault="006A6577" w:rsidP="00CD6642">
            <w:pPr>
              <w:rPr>
                <w:sz w:val="22"/>
                <w:szCs w:val="22"/>
              </w:rPr>
            </w:pPr>
            <w:r w:rsidRPr="00616763">
              <w:rPr>
                <w:sz w:val="22"/>
                <w:szCs w:val="22"/>
              </w:rPr>
              <w:t>Data gathered on extent of financial exclusion</w:t>
            </w:r>
          </w:p>
        </w:tc>
        <w:tc>
          <w:tcPr>
            <w:tcW w:w="2268" w:type="dxa"/>
          </w:tcPr>
          <w:p w:rsidR="006A6577" w:rsidRPr="00616763" w:rsidRDefault="006A6577" w:rsidP="00CD6642">
            <w:pPr>
              <w:rPr>
                <w:sz w:val="22"/>
                <w:szCs w:val="22"/>
              </w:rPr>
            </w:pPr>
            <w:r w:rsidRPr="00616763">
              <w:rPr>
                <w:sz w:val="22"/>
                <w:szCs w:val="22"/>
              </w:rPr>
              <w:t>R&amp;B Programme Manager</w:t>
            </w:r>
          </w:p>
        </w:tc>
        <w:tc>
          <w:tcPr>
            <w:tcW w:w="1985" w:type="dxa"/>
          </w:tcPr>
          <w:p w:rsidR="006A6577" w:rsidRPr="00616763" w:rsidRDefault="006A6577" w:rsidP="00CD6642">
            <w:pPr>
              <w:rPr>
                <w:sz w:val="22"/>
                <w:szCs w:val="22"/>
              </w:rPr>
            </w:pPr>
            <w:r w:rsidRPr="00616763">
              <w:rPr>
                <w:sz w:val="22"/>
                <w:szCs w:val="22"/>
              </w:rPr>
              <w:t>NA</w:t>
            </w:r>
          </w:p>
        </w:tc>
      </w:tr>
      <w:tr w:rsidR="006A6577" w:rsidRPr="00616763" w:rsidTr="00CD6642">
        <w:trPr>
          <w:trHeight w:val="792"/>
        </w:trPr>
        <w:tc>
          <w:tcPr>
            <w:tcW w:w="1135" w:type="dxa"/>
            <w:vMerge w:val="restart"/>
            <w:shd w:val="clear" w:color="auto" w:fill="D9D9D9" w:themeFill="background1" w:themeFillShade="D9"/>
            <w:textDirection w:val="btLr"/>
          </w:tcPr>
          <w:p w:rsidR="006A6577" w:rsidRPr="00616763" w:rsidRDefault="006A6577" w:rsidP="00CD6642">
            <w:pPr>
              <w:ind w:left="113" w:right="113"/>
              <w:jc w:val="center"/>
              <w:rPr>
                <w:sz w:val="22"/>
                <w:szCs w:val="22"/>
              </w:rPr>
            </w:pPr>
            <w:r w:rsidRPr="00616763">
              <w:rPr>
                <w:sz w:val="22"/>
                <w:szCs w:val="22"/>
              </w:rPr>
              <w:t>INCOME –Long Term</w:t>
            </w: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13. </w:t>
            </w:r>
            <w:r w:rsidRPr="00616763">
              <w:rPr>
                <w:sz w:val="22"/>
                <w:szCs w:val="22"/>
              </w:rPr>
              <w:t>Extend Direct Payments to all existing, and any new tenants.</w:t>
            </w:r>
          </w:p>
          <w:p w:rsidR="006A6577" w:rsidRPr="00616763" w:rsidRDefault="006A6577" w:rsidP="00CD6642">
            <w:pPr>
              <w:rPr>
                <w:sz w:val="22"/>
                <w:szCs w:val="22"/>
              </w:rPr>
            </w:pP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Plan in place by May 15</w:t>
            </w:r>
          </w:p>
        </w:tc>
        <w:tc>
          <w:tcPr>
            <w:tcW w:w="4536" w:type="dxa"/>
            <w:shd w:val="clear" w:color="auto" w:fill="D9D9D9" w:themeFill="background1" w:themeFillShade="D9"/>
          </w:tcPr>
          <w:p w:rsidR="006A6577" w:rsidRPr="00616763" w:rsidRDefault="006A6577" w:rsidP="00CD6642">
            <w:pPr>
              <w:rPr>
                <w:sz w:val="22"/>
                <w:szCs w:val="22"/>
              </w:rPr>
            </w:pPr>
            <w:r w:rsidRPr="00616763">
              <w:rPr>
                <w:sz w:val="22"/>
                <w:szCs w:val="22"/>
              </w:rPr>
              <w:t xml:space="preserve">Prepare tenants and the Council for introduction of </w:t>
            </w:r>
            <w:r>
              <w:rPr>
                <w:sz w:val="22"/>
                <w:szCs w:val="22"/>
              </w:rPr>
              <w:t>UC</w:t>
            </w:r>
            <w:r w:rsidRPr="00616763">
              <w:rPr>
                <w:sz w:val="22"/>
                <w:szCs w:val="22"/>
              </w:rPr>
              <w:t>, and identify tenants likely to be excluded from the direct payment element of UC.</w:t>
            </w:r>
            <w:r>
              <w:rPr>
                <w:sz w:val="22"/>
                <w:szCs w:val="22"/>
              </w:rPr>
              <w:t xml:space="preserve"> Identify</w:t>
            </w:r>
            <w:r w:rsidRPr="00616763">
              <w:rPr>
                <w:sz w:val="22"/>
                <w:szCs w:val="22"/>
              </w:rPr>
              <w:t xml:space="preserve"> support needs and refer appropriately.</w:t>
            </w: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Rents Manager</w:t>
            </w:r>
          </w:p>
        </w:tc>
        <w:tc>
          <w:tcPr>
            <w:tcW w:w="1985" w:type="dxa"/>
            <w:shd w:val="clear" w:color="auto" w:fill="D9D9D9" w:themeFill="background1" w:themeFillShade="D9"/>
          </w:tcPr>
          <w:p w:rsidR="006A6577" w:rsidRPr="00616763" w:rsidRDefault="006A6577" w:rsidP="00CD6642">
            <w:pPr>
              <w:rPr>
                <w:sz w:val="22"/>
                <w:szCs w:val="22"/>
              </w:rPr>
            </w:pPr>
            <w:r w:rsidRPr="00616763">
              <w:rPr>
                <w:sz w:val="22"/>
                <w:szCs w:val="22"/>
              </w:rPr>
              <w:t>Advice Sector</w:t>
            </w:r>
          </w:p>
          <w:p w:rsidR="006A6577" w:rsidRPr="00616763" w:rsidRDefault="006A6577" w:rsidP="00CD6642">
            <w:pPr>
              <w:rPr>
                <w:sz w:val="22"/>
                <w:szCs w:val="22"/>
              </w:rPr>
            </w:pPr>
            <w:r w:rsidRPr="00616763">
              <w:rPr>
                <w:sz w:val="22"/>
                <w:szCs w:val="22"/>
              </w:rPr>
              <w:t>Local banks</w:t>
            </w:r>
          </w:p>
          <w:p w:rsidR="006A6577" w:rsidRPr="00616763" w:rsidRDefault="006A6577" w:rsidP="00CD6642">
            <w:pPr>
              <w:rPr>
                <w:sz w:val="22"/>
                <w:szCs w:val="22"/>
              </w:rPr>
            </w:pPr>
            <w:r w:rsidRPr="00616763">
              <w:rPr>
                <w:sz w:val="22"/>
                <w:szCs w:val="22"/>
              </w:rPr>
              <w:t>Community Housing</w:t>
            </w:r>
          </w:p>
        </w:tc>
      </w:tr>
      <w:tr w:rsidR="006A6577" w:rsidRPr="00616763" w:rsidTr="00CD6642">
        <w:tc>
          <w:tcPr>
            <w:tcW w:w="1135" w:type="dxa"/>
            <w:vMerge/>
            <w:shd w:val="clear" w:color="auto" w:fill="D9D9D9" w:themeFill="background1" w:themeFillShade="D9"/>
          </w:tcPr>
          <w:p w:rsidR="006A6577" w:rsidRPr="00616763" w:rsidRDefault="006A6577" w:rsidP="00CD6642">
            <w:pPr>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14. </w:t>
            </w:r>
            <w:r w:rsidRPr="00616763">
              <w:rPr>
                <w:sz w:val="22"/>
                <w:szCs w:val="22"/>
              </w:rPr>
              <w:t>Deliver a program of energy education, with a focus on more vulnerable residents, and making use of tenant champions.</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Program to be agreed by June 15</w:t>
            </w:r>
          </w:p>
        </w:tc>
        <w:tc>
          <w:tcPr>
            <w:tcW w:w="4536" w:type="dxa"/>
            <w:shd w:val="clear" w:color="auto" w:fill="D9D9D9" w:themeFill="background1" w:themeFillShade="D9"/>
          </w:tcPr>
          <w:p w:rsidR="006A6577" w:rsidRPr="00616763" w:rsidRDefault="006A6577" w:rsidP="00CD6642">
            <w:pPr>
              <w:rPr>
                <w:sz w:val="22"/>
                <w:szCs w:val="22"/>
              </w:rPr>
            </w:pPr>
            <w:r w:rsidRPr="00616763">
              <w:rPr>
                <w:sz w:val="22"/>
                <w:szCs w:val="22"/>
              </w:rPr>
              <w:t>Residents are informed about energy saving and receive budgeting support where required including help to find the best energy tariffs.</w:t>
            </w:r>
          </w:p>
        </w:tc>
        <w:tc>
          <w:tcPr>
            <w:tcW w:w="2268" w:type="dxa"/>
            <w:shd w:val="clear" w:color="auto" w:fill="D9D9D9" w:themeFill="background1" w:themeFillShade="D9"/>
          </w:tcPr>
          <w:p w:rsidR="006A6577" w:rsidRPr="00616763" w:rsidRDefault="006A6577" w:rsidP="00CD6642">
            <w:pPr>
              <w:rPr>
                <w:sz w:val="22"/>
                <w:szCs w:val="22"/>
              </w:rPr>
            </w:pPr>
            <w:r>
              <w:rPr>
                <w:sz w:val="22"/>
                <w:szCs w:val="22"/>
              </w:rPr>
              <w:t>Head of Housing &amp; Property</w:t>
            </w:r>
          </w:p>
        </w:tc>
        <w:tc>
          <w:tcPr>
            <w:tcW w:w="1985" w:type="dxa"/>
            <w:shd w:val="clear" w:color="auto" w:fill="D9D9D9" w:themeFill="background1" w:themeFillShade="D9"/>
          </w:tcPr>
          <w:p w:rsidR="006A6577" w:rsidRPr="00616763" w:rsidRDefault="006A6577" w:rsidP="00CD6642">
            <w:pPr>
              <w:rPr>
                <w:sz w:val="22"/>
                <w:szCs w:val="22"/>
              </w:rPr>
            </w:pPr>
            <w:r>
              <w:rPr>
                <w:sz w:val="22"/>
                <w:szCs w:val="22"/>
              </w:rPr>
              <w:t>Tenants</w:t>
            </w:r>
          </w:p>
        </w:tc>
      </w:tr>
      <w:tr w:rsidR="006A6577" w:rsidRPr="00616763" w:rsidTr="00CD6642">
        <w:tc>
          <w:tcPr>
            <w:tcW w:w="1135" w:type="dxa"/>
            <w:vMerge/>
            <w:shd w:val="clear" w:color="auto" w:fill="D9D9D9" w:themeFill="background1" w:themeFillShade="D9"/>
          </w:tcPr>
          <w:p w:rsidR="006A6577" w:rsidRPr="00616763" w:rsidRDefault="006A6577" w:rsidP="00CD6642">
            <w:pPr>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15. </w:t>
            </w:r>
            <w:r w:rsidRPr="00616763">
              <w:rPr>
                <w:sz w:val="22"/>
                <w:szCs w:val="22"/>
              </w:rPr>
              <w:t>All Council tenants to receive a home energy visit</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June 15 to April 17</w:t>
            </w:r>
          </w:p>
        </w:tc>
        <w:tc>
          <w:tcPr>
            <w:tcW w:w="4536" w:type="dxa"/>
            <w:shd w:val="clear" w:color="auto" w:fill="D9D9D9" w:themeFill="background1" w:themeFillShade="D9"/>
          </w:tcPr>
          <w:p w:rsidR="006A6577" w:rsidRPr="00616763" w:rsidRDefault="006A6577" w:rsidP="00CD6642">
            <w:pPr>
              <w:rPr>
                <w:sz w:val="22"/>
                <w:szCs w:val="22"/>
              </w:rPr>
            </w:pPr>
            <w:r w:rsidRPr="00616763">
              <w:rPr>
                <w:sz w:val="22"/>
                <w:szCs w:val="22"/>
              </w:rPr>
              <w:t>Buildings to be assessed for energy efficiency improvements and tenants to be offered advice on energy saving and referred for advice on debt and/or their energy bills.</w:t>
            </w: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Head of Housing &amp; Property</w:t>
            </w:r>
          </w:p>
        </w:tc>
        <w:tc>
          <w:tcPr>
            <w:tcW w:w="1985" w:type="dxa"/>
            <w:shd w:val="clear" w:color="auto" w:fill="D9D9D9" w:themeFill="background1" w:themeFillShade="D9"/>
          </w:tcPr>
          <w:p w:rsidR="006A6577" w:rsidRPr="00616763" w:rsidRDefault="006A6577" w:rsidP="00CD6642">
            <w:pPr>
              <w:rPr>
                <w:sz w:val="22"/>
                <w:szCs w:val="22"/>
                <w:highlight w:val="cyan"/>
              </w:rPr>
            </w:pPr>
            <w:r w:rsidRPr="00CC1FD9">
              <w:rPr>
                <w:sz w:val="22"/>
                <w:szCs w:val="22"/>
              </w:rPr>
              <w:t>Advice Sector</w:t>
            </w:r>
          </w:p>
        </w:tc>
      </w:tr>
      <w:tr w:rsidR="006A6577" w:rsidRPr="00616763" w:rsidTr="00CD6642">
        <w:tc>
          <w:tcPr>
            <w:tcW w:w="1135" w:type="dxa"/>
            <w:vMerge/>
            <w:shd w:val="clear" w:color="auto" w:fill="D9D9D9" w:themeFill="background1" w:themeFillShade="D9"/>
          </w:tcPr>
          <w:p w:rsidR="006A6577" w:rsidRPr="00616763" w:rsidRDefault="006A6577" w:rsidP="00CD6642">
            <w:pPr>
              <w:rPr>
                <w:sz w:val="22"/>
                <w:szCs w:val="22"/>
              </w:rPr>
            </w:pPr>
          </w:p>
        </w:tc>
        <w:tc>
          <w:tcPr>
            <w:tcW w:w="3827"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TASK</w:t>
            </w:r>
          </w:p>
        </w:tc>
        <w:tc>
          <w:tcPr>
            <w:tcW w:w="1701"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TIMESCALE</w:t>
            </w:r>
          </w:p>
        </w:tc>
        <w:tc>
          <w:tcPr>
            <w:tcW w:w="4536"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TARGET/OUTCOME</w:t>
            </w:r>
          </w:p>
        </w:tc>
        <w:tc>
          <w:tcPr>
            <w:tcW w:w="2268"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RESPONSIBLITY</w:t>
            </w:r>
          </w:p>
        </w:tc>
        <w:tc>
          <w:tcPr>
            <w:tcW w:w="1985"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DELIVERY PARTNERS</w:t>
            </w:r>
          </w:p>
        </w:tc>
      </w:tr>
      <w:tr w:rsidR="006A6577" w:rsidRPr="00616763" w:rsidTr="00CD6642">
        <w:tc>
          <w:tcPr>
            <w:tcW w:w="1135" w:type="dxa"/>
            <w:vMerge/>
            <w:shd w:val="clear" w:color="auto" w:fill="D9D9D9" w:themeFill="background1" w:themeFillShade="D9"/>
          </w:tcPr>
          <w:p w:rsidR="006A6577" w:rsidRPr="00616763" w:rsidRDefault="006A6577" w:rsidP="00CD6642">
            <w:pPr>
              <w:rPr>
                <w:sz w:val="22"/>
                <w:szCs w:val="22"/>
              </w:rPr>
            </w:pPr>
          </w:p>
        </w:tc>
        <w:tc>
          <w:tcPr>
            <w:tcW w:w="3827" w:type="dxa"/>
            <w:shd w:val="clear" w:color="auto" w:fill="D9D9D9" w:themeFill="background1" w:themeFillShade="D9"/>
          </w:tcPr>
          <w:p w:rsidR="006A6577" w:rsidRPr="00616763" w:rsidRDefault="006A6577" w:rsidP="00CD6642">
            <w:pPr>
              <w:rPr>
                <w:sz w:val="22"/>
                <w:szCs w:val="22"/>
                <w:highlight w:val="cyan"/>
              </w:rPr>
            </w:pPr>
            <w:r>
              <w:rPr>
                <w:sz w:val="22"/>
                <w:szCs w:val="22"/>
              </w:rPr>
              <w:t xml:space="preserve">16. </w:t>
            </w:r>
            <w:r w:rsidRPr="00616763">
              <w:rPr>
                <w:sz w:val="22"/>
                <w:szCs w:val="22"/>
              </w:rPr>
              <w:t>Sign up to The Rental Exchange following consultation with tenants.</w:t>
            </w:r>
          </w:p>
        </w:tc>
        <w:tc>
          <w:tcPr>
            <w:tcW w:w="1701" w:type="dxa"/>
            <w:shd w:val="clear" w:color="auto" w:fill="D9D9D9" w:themeFill="background1" w:themeFillShade="D9"/>
          </w:tcPr>
          <w:p w:rsidR="006A6577" w:rsidRPr="00616763" w:rsidRDefault="006A6577" w:rsidP="00CD6642">
            <w:pPr>
              <w:rPr>
                <w:sz w:val="22"/>
                <w:szCs w:val="22"/>
                <w:highlight w:val="cyan"/>
              </w:rPr>
            </w:pPr>
            <w:r w:rsidRPr="00616763">
              <w:rPr>
                <w:sz w:val="22"/>
                <w:szCs w:val="22"/>
              </w:rPr>
              <w:t>Oct 15</w:t>
            </w:r>
          </w:p>
        </w:tc>
        <w:tc>
          <w:tcPr>
            <w:tcW w:w="4536" w:type="dxa"/>
            <w:shd w:val="clear" w:color="auto" w:fill="D9D9D9" w:themeFill="background1" w:themeFillShade="D9"/>
          </w:tcPr>
          <w:p w:rsidR="006A6577" w:rsidRDefault="006A6577" w:rsidP="00CD6642">
            <w:pPr>
              <w:rPr>
                <w:sz w:val="22"/>
                <w:szCs w:val="22"/>
              </w:rPr>
            </w:pPr>
            <w:r w:rsidRPr="00616763">
              <w:rPr>
                <w:sz w:val="22"/>
                <w:szCs w:val="22"/>
              </w:rPr>
              <w:t>Council Tenants are able to establish a credit record on the basis of timely payment of their rent.</w:t>
            </w:r>
          </w:p>
          <w:p w:rsidR="006A6577" w:rsidRPr="00616763" w:rsidRDefault="006A6577" w:rsidP="00CD6642">
            <w:pPr>
              <w:rPr>
                <w:sz w:val="22"/>
                <w:szCs w:val="22"/>
              </w:rPr>
            </w:pPr>
          </w:p>
          <w:p w:rsidR="006A6577" w:rsidRPr="00616763" w:rsidRDefault="006A6577" w:rsidP="00CD6642">
            <w:pPr>
              <w:rPr>
                <w:sz w:val="22"/>
                <w:szCs w:val="22"/>
                <w:highlight w:val="cyan"/>
              </w:rPr>
            </w:pPr>
          </w:p>
        </w:tc>
        <w:tc>
          <w:tcPr>
            <w:tcW w:w="2268" w:type="dxa"/>
            <w:shd w:val="clear" w:color="auto" w:fill="D9D9D9" w:themeFill="background1" w:themeFillShade="D9"/>
          </w:tcPr>
          <w:p w:rsidR="006A6577" w:rsidRPr="00616763" w:rsidRDefault="006A6577" w:rsidP="00CD6642">
            <w:pPr>
              <w:rPr>
                <w:sz w:val="22"/>
                <w:szCs w:val="22"/>
                <w:highlight w:val="cyan"/>
              </w:rPr>
            </w:pPr>
            <w:r w:rsidRPr="00616763">
              <w:rPr>
                <w:sz w:val="22"/>
                <w:szCs w:val="22"/>
              </w:rPr>
              <w:lastRenderedPageBreak/>
              <w:t>Rents Manager</w:t>
            </w:r>
          </w:p>
        </w:tc>
        <w:tc>
          <w:tcPr>
            <w:tcW w:w="1985" w:type="dxa"/>
            <w:shd w:val="clear" w:color="auto" w:fill="D9D9D9" w:themeFill="background1" w:themeFillShade="D9"/>
          </w:tcPr>
          <w:p w:rsidR="006A6577" w:rsidRPr="00616763" w:rsidRDefault="006A6577" w:rsidP="00CD6642">
            <w:pPr>
              <w:rPr>
                <w:sz w:val="22"/>
                <w:szCs w:val="22"/>
              </w:rPr>
            </w:pPr>
            <w:r w:rsidRPr="00616763">
              <w:rPr>
                <w:sz w:val="22"/>
                <w:szCs w:val="22"/>
              </w:rPr>
              <w:t>Experian,</w:t>
            </w:r>
          </w:p>
          <w:p w:rsidR="006A6577" w:rsidRPr="00616763" w:rsidRDefault="006A6577" w:rsidP="00CD6642">
            <w:pPr>
              <w:rPr>
                <w:sz w:val="22"/>
                <w:szCs w:val="22"/>
                <w:highlight w:val="cyan"/>
              </w:rPr>
            </w:pPr>
            <w:r w:rsidRPr="00616763">
              <w:rPr>
                <w:sz w:val="22"/>
                <w:szCs w:val="22"/>
              </w:rPr>
              <w:t>Tenancy Involvement</w:t>
            </w:r>
          </w:p>
        </w:tc>
      </w:tr>
      <w:tr w:rsidR="006A6577" w:rsidRPr="00616763" w:rsidTr="00CD6642">
        <w:tc>
          <w:tcPr>
            <w:tcW w:w="1135" w:type="dxa"/>
            <w:vMerge w:val="restart"/>
            <w:shd w:val="clear" w:color="auto" w:fill="auto"/>
            <w:textDirection w:val="btLr"/>
          </w:tcPr>
          <w:p w:rsidR="006A6577" w:rsidRPr="00616763" w:rsidRDefault="006A6577" w:rsidP="00CD6642">
            <w:pPr>
              <w:ind w:left="113" w:right="113"/>
              <w:jc w:val="center"/>
              <w:rPr>
                <w:sz w:val="22"/>
                <w:szCs w:val="22"/>
              </w:rPr>
            </w:pPr>
            <w:r w:rsidRPr="00616763">
              <w:rPr>
                <w:sz w:val="22"/>
                <w:szCs w:val="22"/>
              </w:rPr>
              <w:lastRenderedPageBreak/>
              <w:t>HOUSING – Short Term</w:t>
            </w:r>
          </w:p>
        </w:tc>
        <w:tc>
          <w:tcPr>
            <w:tcW w:w="3827" w:type="dxa"/>
          </w:tcPr>
          <w:p w:rsidR="006A6577" w:rsidRPr="00616763" w:rsidRDefault="006A6577" w:rsidP="00CD6642">
            <w:pPr>
              <w:rPr>
                <w:sz w:val="22"/>
                <w:szCs w:val="22"/>
              </w:rPr>
            </w:pPr>
            <w:r>
              <w:rPr>
                <w:sz w:val="22"/>
                <w:szCs w:val="22"/>
              </w:rPr>
              <w:t xml:space="preserve">17. </w:t>
            </w:r>
            <w:r w:rsidRPr="00616763">
              <w:rPr>
                <w:sz w:val="22"/>
                <w:szCs w:val="22"/>
              </w:rPr>
              <w:t>Energy Strategy and Action Plan to be agreed at CEB, aligned with Members Briefing</w:t>
            </w:r>
          </w:p>
          <w:p w:rsidR="006A6577" w:rsidRPr="00616763" w:rsidRDefault="006A6577" w:rsidP="00CD6642">
            <w:pPr>
              <w:rPr>
                <w:sz w:val="22"/>
                <w:szCs w:val="22"/>
              </w:rPr>
            </w:pPr>
          </w:p>
        </w:tc>
        <w:tc>
          <w:tcPr>
            <w:tcW w:w="1701" w:type="dxa"/>
          </w:tcPr>
          <w:p w:rsidR="006A6577" w:rsidRPr="00616763" w:rsidRDefault="006A6577" w:rsidP="00CD6642">
            <w:pPr>
              <w:rPr>
                <w:sz w:val="22"/>
                <w:szCs w:val="22"/>
              </w:rPr>
            </w:pPr>
            <w:r w:rsidRPr="00616763">
              <w:rPr>
                <w:sz w:val="22"/>
                <w:szCs w:val="22"/>
              </w:rPr>
              <w:t>July 15</w:t>
            </w:r>
          </w:p>
        </w:tc>
        <w:tc>
          <w:tcPr>
            <w:tcW w:w="4536" w:type="dxa"/>
          </w:tcPr>
          <w:p w:rsidR="006A6577" w:rsidRPr="00616763" w:rsidRDefault="006A6577" w:rsidP="00CD6642">
            <w:pPr>
              <w:rPr>
                <w:sz w:val="22"/>
                <w:szCs w:val="22"/>
              </w:rPr>
            </w:pPr>
            <w:r w:rsidRPr="00616763">
              <w:rPr>
                <w:sz w:val="22"/>
                <w:szCs w:val="22"/>
              </w:rPr>
              <w:t>Relevant actions to be incorporated in FIS Action Plan when agreed.</w:t>
            </w:r>
          </w:p>
        </w:tc>
        <w:tc>
          <w:tcPr>
            <w:tcW w:w="2268" w:type="dxa"/>
          </w:tcPr>
          <w:p w:rsidR="006A6577" w:rsidRPr="00616763" w:rsidRDefault="006A6577" w:rsidP="00CD6642">
            <w:pPr>
              <w:rPr>
                <w:sz w:val="22"/>
                <w:szCs w:val="22"/>
                <w:highlight w:val="yellow"/>
              </w:rPr>
            </w:pPr>
            <w:r w:rsidRPr="00B92FC7">
              <w:rPr>
                <w:sz w:val="22"/>
                <w:szCs w:val="22"/>
              </w:rPr>
              <w:t>Head of Planning &amp; Enforcement</w:t>
            </w:r>
          </w:p>
        </w:tc>
        <w:tc>
          <w:tcPr>
            <w:tcW w:w="1985" w:type="dxa"/>
          </w:tcPr>
          <w:p w:rsidR="006A6577" w:rsidRPr="00616763" w:rsidRDefault="006A6577" w:rsidP="00CD6642">
            <w:pPr>
              <w:rPr>
                <w:sz w:val="22"/>
                <w:szCs w:val="22"/>
                <w:highlight w:val="yellow"/>
              </w:rPr>
            </w:pPr>
            <w:r w:rsidRPr="00B92FC7">
              <w:rPr>
                <w:sz w:val="22"/>
                <w:szCs w:val="22"/>
              </w:rPr>
              <w:t>Internal only</w:t>
            </w:r>
          </w:p>
        </w:tc>
      </w:tr>
      <w:tr w:rsidR="006A6577" w:rsidRPr="00616763" w:rsidTr="00CD6642">
        <w:tc>
          <w:tcPr>
            <w:tcW w:w="1135" w:type="dxa"/>
            <w:vMerge/>
            <w:shd w:val="clear" w:color="auto" w:fill="auto"/>
            <w:textDirection w:val="btLr"/>
          </w:tcPr>
          <w:p w:rsidR="006A6577" w:rsidRPr="00616763" w:rsidRDefault="006A6577" w:rsidP="00CD6642">
            <w:pPr>
              <w:ind w:left="113" w:right="113"/>
              <w:jc w:val="center"/>
              <w:rPr>
                <w:sz w:val="22"/>
                <w:szCs w:val="22"/>
              </w:rPr>
            </w:pPr>
          </w:p>
        </w:tc>
        <w:tc>
          <w:tcPr>
            <w:tcW w:w="3827" w:type="dxa"/>
          </w:tcPr>
          <w:p w:rsidR="006A6577" w:rsidRPr="00616763" w:rsidRDefault="006A6577" w:rsidP="00CD6642">
            <w:pPr>
              <w:rPr>
                <w:sz w:val="22"/>
                <w:szCs w:val="22"/>
              </w:rPr>
            </w:pPr>
            <w:r>
              <w:rPr>
                <w:sz w:val="22"/>
                <w:szCs w:val="22"/>
              </w:rPr>
              <w:t>18. Pilot use of conditionality in awarding top--up payments to Home Choice customers.</w:t>
            </w:r>
          </w:p>
        </w:tc>
        <w:tc>
          <w:tcPr>
            <w:tcW w:w="1701" w:type="dxa"/>
          </w:tcPr>
          <w:p w:rsidR="006A6577" w:rsidRPr="00616763" w:rsidRDefault="006A6577" w:rsidP="00CD6642">
            <w:pPr>
              <w:rPr>
                <w:sz w:val="22"/>
                <w:szCs w:val="22"/>
              </w:rPr>
            </w:pPr>
            <w:r>
              <w:rPr>
                <w:sz w:val="22"/>
                <w:szCs w:val="22"/>
              </w:rPr>
              <w:t>Sep 15 to Aug 16</w:t>
            </w:r>
          </w:p>
        </w:tc>
        <w:tc>
          <w:tcPr>
            <w:tcW w:w="4536" w:type="dxa"/>
          </w:tcPr>
          <w:p w:rsidR="006A6577" w:rsidRPr="00616763" w:rsidRDefault="006A6577" w:rsidP="00CD6642">
            <w:pPr>
              <w:rPr>
                <w:sz w:val="22"/>
                <w:szCs w:val="22"/>
              </w:rPr>
            </w:pPr>
            <w:r>
              <w:rPr>
                <w:sz w:val="22"/>
                <w:szCs w:val="22"/>
              </w:rPr>
              <w:t>Test whether this approach enables Home Choice customers to live independently without the need for further Council support.</w:t>
            </w:r>
          </w:p>
        </w:tc>
        <w:tc>
          <w:tcPr>
            <w:tcW w:w="2268" w:type="dxa"/>
          </w:tcPr>
          <w:p w:rsidR="006A6577" w:rsidRDefault="006A6577" w:rsidP="00CD6642">
            <w:pPr>
              <w:rPr>
                <w:sz w:val="22"/>
                <w:szCs w:val="22"/>
              </w:rPr>
            </w:pPr>
            <w:r>
              <w:rPr>
                <w:sz w:val="22"/>
                <w:szCs w:val="22"/>
              </w:rPr>
              <w:t>Revenues &amp; Benefits Programme Manager</w:t>
            </w:r>
          </w:p>
          <w:p w:rsidR="006A6577" w:rsidRDefault="006A6577" w:rsidP="00CD6642">
            <w:pPr>
              <w:rPr>
                <w:sz w:val="22"/>
                <w:szCs w:val="22"/>
              </w:rPr>
            </w:pPr>
            <w:r>
              <w:rPr>
                <w:sz w:val="22"/>
                <w:szCs w:val="22"/>
              </w:rPr>
              <w:t>Head of Housing &amp; Property</w:t>
            </w:r>
          </w:p>
          <w:p w:rsidR="006A6577" w:rsidRPr="00B92FC7" w:rsidRDefault="006A6577" w:rsidP="00CD6642">
            <w:pPr>
              <w:rPr>
                <w:sz w:val="22"/>
                <w:szCs w:val="22"/>
              </w:rPr>
            </w:pPr>
          </w:p>
        </w:tc>
        <w:tc>
          <w:tcPr>
            <w:tcW w:w="1985" w:type="dxa"/>
          </w:tcPr>
          <w:p w:rsidR="006A6577" w:rsidRPr="00B92FC7" w:rsidRDefault="006A6577" w:rsidP="00CD6642">
            <w:pPr>
              <w:rPr>
                <w:sz w:val="22"/>
                <w:szCs w:val="22"/>
              </w:rPr>
            </w:pPr>
            <w:r>
              <w:rPr>
                <w:sz w:val="22"/>
                <w:szCs w:val="22"/>
              </w:rPr>
              <w:t>Various to provide debt advice and employment support</w:t>
            </w:r>
          </w:p>
        </w:tc>
      </w:tr>
      <w:tr w:rsidR="006A6577" w:rsidRPr="00616763" w:rsidTr="00CD6642">
        <w:tc>
          <w:tcPr>
            <w:tcW w:w="1135" w:type="dxa"/>
            <w:vMerge/>
            <w:shd w:val="clear" w:color="auto" w:fill="auto"/>
          </w:tcPr>
          <w:p w:rsidR="006A6577" w:rsidRPr="00616763" w:rsidRDefault="006A6577" w:rsidP="00CD6642">
            <w:pPr>
              <w:rPr>
                <w:sz w:val="22"/>
                <w:szCs w:val="22"/>
              </w:rPr>
            </w:pPr>
          </w:p>
        </w:tc>
        <w:tc>
          <w:tcPr>
            <w:tcW w:w="3827" w:type="dxa"/>
            <w:shd w:val="clear" w:color="auto" w:fill="auto"/>
          </w:tcPr>
          <w:p w:rsidR="006A6577" w:rsidRDefault="006A6577" w:rsidP="00CD6642">
            <w:pPr>
              <w:rPr>
                <w:sz w:val="22"/>
                <w:szCs w:val="22"/>
              </w:rPr>
            </w:pPr>
            <w:r>
              <w:rPr>
                <w:sz w:val="22"/>
                <w:szCs w:val="22"/>
              </w:rPr>
              <w:t xml:space="preserve">19. </w:t>
            </w:r>
            <w:r w:rsidRPr="00616763">
              <w:rPr>
                <w:sz w:val="22"/>
                <w:szCs w:val="22"/>
              </w:rPr>
              <w:t xml:space="preserve">Work with community groups to carry out building checks and other support, on properties using the Oxford Fuel Poverty Indicator to prioritise </w:t>
            </w:r>
          </w:p>
          <w:p w:rsidR="006A6577" w:rsidRPr="00616763" w:rsidRDefault="006A6577" w:rsidP="00CD6642">
            <w:pPr>
              <w:rPr>
                <w:sz w:val="22"/>
                <w:szCs w:val="22"/>
              </w:rPr>
            </w:pPr>
          </w:p>
        </w:tc>
        <w:tc>
          <w:tcPr>
            <w:tcW w:w="1701" w:type="dxa"/>
            <w:shd w:val="clear" w:color="auto" w:fill="auto"/>
          </w:tcPr>
          <w:p w:rsidR="006A6577" w:rsidRPr="00616763" w:rsidRDefault="006A6577" w:rsidP="00CD6642">
            <w:pPr>
              <w:rPr>
                <w:sz w:val="22"/>
                <w:szCs w:val="22"/>
              </w:rPr>
            </w:pPr>
            <w:r w:rsidRPr="00616763">
              <w:rPr>
                <w:sz w:val="22"/>
                <w:szCs w:val="22"/>
              </w:rPr>
              <w:t>From Jul 15 to Mar 16</w:t>
            </w:r>
          </w:p>
        </w:tc>
        <w:tc>
          <w:tcPr>
            <w:tcW w:w="4536" w:type="dxa"/>
            <w:shd w:val="clear" w:color="auto" w:fill="auto"/>
          </w:tcPr>
          <w:p w:rsidR="006A6577" w:rsidRPr="00616763" w:rsidRDefault="006A6577" w:rsidP="00CD6642">
            <w:pPr>
              <w:rPr>
                <w:sz w:val="22"/>
                <w:szCs w:val="22"/>
              </w:rPr>
            </w:pPr>
            <w:r w:rsidRPr="00616763">
              <w:rPr>
                <w:sz w:val="22"/>
                <w:szCs w:val="22"/>
              </w:rPr>
              <w:t xml:space="preserve">Develop a robust data set of the energy efficiency of buildings across the city and use this data to focus funding for improvements and financial support. </w:t>
            </w:r>
          </w:p>
        </w:tc>
        <w:tc>
          <w:tcPr>
            <w:tcW w:w="2268" w:type="dxa"/>
            <w:shd w:val="clear" w:color="auto" w:fill="auto"/>
          </w:tcPr>
          <w:p w:rsidR="006A6577" w:rsidRPr="00616763" w:rsidRDefault="006A6577" w:rsidP="00CD6642">
            <w:pPr>
              <w:rPr>
                <w:sz w:val="22"/>
                <w:szCs w:val="22"/>
                <w:highlight w:val="yellow"/>
              </w:rPr>
            </w:pPr>
            <w:r w:rsidRPr="00D546E1">
              <w:rPr>
                <w:sz w:val="22"/>
                <w:szCs w:val="22"/>
              </w:rPr>
              <w:t>Executive Director for Community Services</w:t>
            </w:r>
          </w:p>
        </w:tc>
        <w:tc>
          <w:tcPr>
            <w:tcW w:w="1985" w:type="dxa"/>
            <w:shd w:val="clear" w:color="auto" w:fill="auto"/>
          </w:tcPr>
          <w:p w:rsidR="006A6577" w:rsidRPr="00616763" w:rsidRDefault="006A6577" w:rsidP="00CD6642">
            <w:pPr>
              <w:rPr>
                <w:sz w:val="22"/>
                <w:szCs w:val="22"/>
                <w:highlight w:val="yellow"/>
              </w:rPr>
            </w:pPr>
            <w:r w:rsidRPr="00616763">
              <w:rPr>
                <w:sz w:val="22"/>
                <w:szCs w:val="22"/>
              </w:rPr>
              <w:t>Low Carbon community groups</w:t>
            </w:r>
          </w:p>
        </w:tc>
      </w:tr>
      <w:tr w:rsidR="006A6577" w:rsidRPr="00616763" w:rsidTr="00CD6642">
        <w:tc>
          <w:tcPr>
            <w:tcW w:w="1135" w:type="dxa"/>
            <w:vMerge w:val="restart"/>
            <w:shd w:val="clear" w:color="auto" w:fill="D9D9D9" w:themeFill="background1" w:themeFillShade="D9"/>
            <w:textDirection w:val="btLr"/>
          </w:tcPr>
          <w:p w:rsidR="006A6577" w:rsidRPr="00616763" w:rsidRDefault="006A6577" w:rsidP="00CD6642">
            <w:pPr>
              <w:ind w:left="113" w:right="113"/>
              <w:jc w:val="center"/>
              <w:rPr>
                <w:sz w:val="22"/>
                <w:szCs w:val="22"/>
              </w:rPr>
            </w:pPr>
            <w:r w:rsidRPr="00616763">
              <w:rPr>
                <w:sz w:val="22"/>
                <w:szCs w:val="22"/>
              </w:rPr>
              <w:t>HOUSING – Long Term</w:t>
            </w: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20. </w:t>
            </w:r>
            <w:r w:rsidRPr="00616763">
              <w:rPr>
                <w:sz w:val="22"/>
                <w:szCs w:val="22"/>
              </w:rPr>
              <w:t>Excess Cold enforcement to be carried out against landlords of properties with EPC ratings of F or G</w:t>
            </w:r>
          </w:p>
          <w:p w:rsidR="006A6577" w:rsidRPr="00616763" w:rsidRDefault="006A6577" w:rsidP="00CD6642">
            <w:pPr>
              <w:rPr>
                <w:sz w:val="22"/>
                <w:szCs w:val="22"/>
              </w:rPr>
            </w:pPr>
          </w:p>
          <w:p w:rsidR="006A6577" w:rsidRPr="00616763" w:rsidRDefault="006A6577" w:rsidP="00CD6642">
            <w:pPr>
              <w:rPr>
                <w:sz w:val="22"/>
                <w:szCs w:val="22"/>
              </w:rPr>
            </w:pP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From Jul 15 to Mar 16</w:t>
            </w:r>
          </w:p>
        </w:tc>
        <w:tc>
          <w:tcPr>
            <w:tcW w:w="4536" w:type="dxa"/>
            <w:shd w:val="clear" w:color="auto" w:fill="D9D9D9" w:themeFill="background1" w:themeFillShade="D9"/>
          </w:tcPr>
          <w:p w:rsidR="006A6577" w:rsidRPr="00616763" w:rsidRDefault="006A6577" w:rsidP="00CD6642">
            <w:pPr>
              <w:rPr>
                <w:sz w:val="22"/>
                <w:szCs w:val="22"/>
              </w:rPr>
            </w:pPr>
            <w:r w:rsidRPr="00616763">
              <w:rPr>
                <w:sz w:val="22"/>
                <w:szCs w:val="22"/>
              </w:rPr>
              <w:t>Improve energy efficiency of private rented stock</w:t>
            </w:r>
          </w:p>
        </w:tc>
        <w:tc>
          <w:tcPr>
            <w:tcW w:w="2268" w:type="dxa"/>
            <w:shd w:val="clear" w:color="auto" w:fill="D9D9D9" w:themeFill="background1" w:themeFillShade="D9"/>
          </w:tcPr>
          <w:p w:rsidR="006A6577" w:rsidRPr="00616763" w:rsidRDefault="006A6577" w:rsidP="00CD6642">
            <w:pPr>
              <w:rPr>
                <w:sz w:val="22"/>
                <w:szCs w:val="22"/>
                <w:highlight w:val="yellow"/>
              </w:rPr>
            </w:pPr>
            <w:r w:rsidRPr="00616763">
              <w:rPr>
                <w:sz w:val="22"/>
                <w:szCs w:val="22"/>
              </w:rPr>
              <w:t>Head of Planning &amp; Enforcement</w:t>
            </w:r>
          </w:p>
        </w:tc>
        <w:tc>
          <w:tcPr>
            <w:tcW w:w="1985" w:type="dxa"/>
            <w:shd w:val="clear" w:color="auto" w:fill="D9D9D9" w:themeFill="background1" w:themeFillShade="D9"/>
          </w:tcPr>
          <w:p w:rsidR="006A6577" w:rsidRPr="00616763" w:rsidRDefault="006A6577" w:rsidP="00CD6642">
            <w:pPr>
              <w:rPr>
                <w:sz w:val="22"/>
                <w:szCs w:val="22"/>
                <w:highlight w:val="yellow"/>
              </w:rPr>
            </w:pPr>
            <w:r w:rsidRPr="00B92FC7">
              <w:rPr>
                <w:sz w:val="22"/>
                <w:szCs w:val="22"/>
              </w:rPr>
              <w:t>Private Rented landlords</w:t>
            </w:r>
          </w:p>
        </w:tc>
      </w:tr>
      <w:tr w:rsidR="006A6577" w:rsidRPr="00616763" w:rsidTr="00CD6642">
        <w:tc>
          <w:tcPr>
            <w:tcW w:w="1135" w:type="dxa"/>
            <w:vMerge/>
            <w:shd w:val="clear" w:color="auto" w:fill="D9D9D9" w:themeFill="background1" w:themeFillShade="D9"/>
            <w:textDirection w:val="btLr"/>
          </w:tcPr>
          <w:p w:rsidR="006A6577" w:rsidRPr="00616763" w:rsidRDefault="006A6577" w:rsidP="00CD6642">
            <w:pPr>
              <w:ind w:left="113" w:right="113"/>
              <w:jc w:val="center"/>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21. </w:t>
            </w:r>
            <w:r w:rsidRPr="00616763">
              <w:rPr>
                <w:sz w:val="22"/>
                <w:szCs w:val="22"/>
              </w:rPr>
              <w:t>Help people affected by the Bedroom Tax in Council stock downsize</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On-going to Jun 16</w:t>
            </w:r>
          </w:p>
        </w:tc>
        <w:tc>
          <w:tcPr>
            <w:tcW w:w="4536" w:type="dxa"/>
            <w:shd w:val="clear" w:color="auto" w:fill="D9D9D9" w:themeFill="background1" w:themeFillShade="D9"/>
          </w:tcPr>
          <w:p w:rsidR="006A6577" w:rsidRDefault="006A6577" w:rsidP="00CD6642">
            <w:pPr>
              <w:rPr>
                <w:sz w:val="22"/>
                <w:szCs w:val="22"/>
              </w:rPr>
            </w:pPr>
            <w:r w:rsidRPr="00616763">
              <w:rPr>
                <w:sz w:val="22"/>
                <w:szCs w:val="22"/>
              </w:rPr>
              <w:t>Reduce the number of people who have their Housing Support reduced by the Bedroom Tax</w:t>
            </w:r>
          </w:p>
          <w:p w:rsidR="006A6577" w:rsidRPr="00616763" w:rsidRDefault="006A6577" w:rsidP="00CD6642">
            <w:pPr>
              <w:rPr>
                <w:sz w:val="22"/>
                <w:szCs w:val="22"/>
              </w:rPr>
            </w:pP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Landlord Services Manager</w:t>
            </w:r>
          </w:p>
        </w:tc>
        <w:tc>
          <w:tcPr>
            <w:tcW w:w="1985" w:type="dxa"/>
            <w:shd w:val="clear" w:color="auto" w:fill="D9D9D9" w:themeFill="background1" w:themeFillShade="D9"/>
          </w:tcPr>
          <w:p w:rsidR="006A6577" w:rsidRPr="00B92FC7" w:rsidRDefault="006A6577" w:rsidP="00CD6642">
            <w:pPr>
              <w:rPr>
                <w:sz w:val="22"/>
                <w:szCs w:val="22"/>
              </w:rPr>
            </w:pPr>
            <w:r>
              <w:rPr>
                <w:sz w:val="22"/>
                <w:szCs w:val="22"/>
              </w:rPr>
              <w:t>n/a</w:t>
            </w:r>
          </w:p>
        </w:tc>
      </w:tr>
      <w:tr w:rsidR="006A6577" w:rsidRPr="00616763" w:rsidTr="00CD6642">
        <w:tc>
          <w:tcPr>
            <w:tcW w:w="1135" w:type="dxa"/>
            <w:vMerge/>
            <w:shd w:val="clear" w:color="auto" w:fill="D9D9D9" w:themeFill="background1" w:themeFillShade="D9"/>
            <w:textDirection w:val="btLr"/>
          </w:tcPr>
          <w:p w:rsidR="006A6577" w:rsidRPr="00616763" w:rsidRDefault="006A6577" w:rsidP="00CD6642">
            <w:pPr>
              <w:ind w:left="113" w:right="113"/>
              <w:jc w:val="center"/>
              <w:rPr>
                <w:sz w:val="22"/>
                <w:szCs w:val="22"/>
              </w:rPr>
            </w:pPr>
          </w:p>
        </w:tc>
        <w:tc>
          <w:tcPr>
            <w:tcW w:w="3827"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TASK</w:t>
            </w:r>
          </w:p>
        </w:tc>
        <w:tc>
          <w:tcPr>
            <w:tcW w:w="1701"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TIMESCALE</w:t>
            </w:r>
          </w:p>
        </w:tc>
        <w:tc>
          <w:tcPr>
            <w:tcW w:w="4536"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TARGET/OUTCOME</w:t>
            </w:r>
          </w:p>
        </w:tc>
        <w:tc>
          <w:tcPr>
            <w:tcW w:w="2268"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RESPONSIBLITY</w:t>
            </w:r>
          </w:p>
        </w:tc>
        <w:tc>
          <w:tcPr>
            <w:tcW w:w="1985"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DELIVERY PARTNERS</w:t>
            </w:r>
          </w:p>
        </w:tc>
      </w:tr>
      <w:tr w:rsidR="006A6577" w:rsidRPr="00616763" w:rsidTr="00CD6642">
        <w:tc>
          <w:tcPr>
            <w:tcW w:w="1135" w:type="dxa"/>
            <w:vMerge/>
            <w:shd w:val="clear" w:color="auto" w:fill="D9D9D9" w:themeFill="background1" w:themeFillShade="D9"/>
            <w:textDirection w:val="btLr"/>
          </w:tcPr>
          <w:p w:rsidR="006A6577" w:rsidRPr="00616763" w:rsidRDefault="006A6577" w:rsidP="00CD6642">
            <w:pPr>
              <w:ind w:left="113" w:right="113"/>
              <w:jc w:val="center"/>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22. </w:t>
            </w:r>
            <w:r w:rsidRPr="00616763">
              <w:rPr>
                <w:sz w:val="22"/>
                <w:szCs w:val="22"/>
              </w:rPr>
              <w:t>Carry out programme of improvements to Council stock, including cavity wall insulations, external wall insulations and program of loft insulation and boiler replacement</w:t>
            </w:r>
          </w:p>
          <w:p w:rsidR="006A6577" w:rsidRPr="00616763" w:rsidRDefault="006A6577" w:rsidP="00CD6642">
            <w:pPr>
              <w:rPr>
                <w:sz w:val="22"/>
                <w:szCs w:val="22"/>
              </w:rPr>
            </w:pP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lastRenderedPageBreak/>
              <w:t>Mar 16 for first phase</w:t>
            </w:r>
          </w:p>
        </w:tc>
        <w:tc>
          <w:tcPr>
            <w:tcW w:w="4536" w:type="dxa"/>
            <w:shd w:val="clear" w:color="auto" w:fill="D9D9D9" w:themeFill="background1" w:themeFillShade="D9"/>
          </w:tcPr>
          <w:p w:rsidR="006A6577" w:rsidRPr="00616763" w:rsidRDefault="006A6577" w:rsidP="00CD6642">
            <w:pPr>
              <w:rPr>
                <w:sz w:val="22"/>
                <w:szCs w:val="22"/>
              </w:rPr>
            </w:pPr>
            <w:r w:rsidRPr="00616763">
              <w:rPr>
                <w:sz w:val="22"/>
                <w:szCs w:val="22"/>
              </w:rPr>
              <w:t>Achieve minimum SAP</w:t>
            </w:r>
            <w:r>
              <w:rPr>
                <w:sz w:val="22"/>
                <w:szCs w:val="22"/>
              </w:rPr>
              <w:t xml:space="preserve"> (Standard Assessment Procedure)</w:t>
            </w:r>
            <w:r w:rsidRPr="00616763">
              <w:rPr>
                <w:sz w:val="22"/>
                <w:szCs w:val="22"/>
              </w:rPr>
              <w:t xml:space="preserve"> of 69 (equivalent of EPC level C) and an average of 72 across Council stock, improving energy efficiency and reducing bills and/or under heating</w:t>
            </w:r>
          </w:p>
        </w:tc>
        <w:tc>
          <w:tcPr>
            <w:tcW w:w="2268" w:type="dxa"/>
            <w:shd w:val="clear" w:color="auto" w:fill="D9D9D9" w:themeFill="background1" w:themeFillShade="D9"/>
          </w:tcPr>
          <w:p w:rsidR="006A6577" w:rsidRPr="00616763" w:rsidRDefault="006A6577" w:rsidP="00CD6642">
            <w:pPr>
              <w:rPr>
                <w:sz w:val="22"/>
                <w:szCs w:val="22"/>
                <w:highlight w:val="yellow"/>
              </w:rPr>
            </w:pPr>
            <w:r w:rsidRPr="00616763">
              <w:rPr>
                <w:sz w:val="22"/>
                <w:szCs w:val="22"/>
              </w:rPr>
              <w:t>Head of Housing &amp; Property</w:t>
            </w:r>
          </w:p>
        </w:tc>
        <w:tc>
          <w:tcPr>
            <w:tcW w:w="1985" w:type="dxa"/>
            <w:shd w:val="clear" w:color="auto" w:fill="D9D9D9" w:themeFill="background1" w:themeFillShade="D9"/>
          </w:tcPr>
          <w:p w:rsidR="006A6577" w:rsidRPr="00616763" w:rsidRDefault="006A6577" w:rsidP="00CD6642">
            <w:pPr>
              <w:rPr>
                <w:sz w:val="22"/>
                <w:szCs w:val="22"/>
                <w:highlight w:val="yellow"/>
              </w:rPr>
            </w:pPr>
            <w:r w:rsidRPr="00CC1FD9">
              <w:rPr>
                <w:sz w:val="22"/>
                <w:szCs w:val="22"/>
              </w:rPr>
              <w:t>n/a</w:t>
            </w:r>
          </w:p>
        </w:tc>
      </w:tr>
      <w:tr w:rsidR="006A6577" w:rsidRPr="00616763" w:rsidTr="00CD6642">
        <w:tc>
          <w:tcPr>
            <w:tcW w:w="1135" w:type="dxa"/>
            <w:vMerge/>
            <w:shd w:val="clear" w:color="auto" w:fill="D9D9D9" w:themeFill="background1" w:themeFillShade="D9"/>
          </w:tcPr>
          <w:p w:rsidR="006A6577" w:rsidRPr="00616763" w:rsidRDefault="006A6577" w:rsidP="00CD6642">
            <w:pPr>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23. </w:t>
            </w:r>
            <w:r w:rsidRPr="00616763">
              <w:rPr>
                <w:sz w:val="22"/>
                <w:szCs w:val="22"/>
              </w:rPr>
              <w:t>Explore a common approach across agencies to identify priority groups, underpinned by data sharing &amp; Develop the “Oxford offer”</w:t>
            </w:r>
          </w:p>
          <w:p w:rsidR="006A6577" w:rsidRPr="00616763" w:rsidRDefault="006A6577" w:rsidP="00CD6642">
            <w:pPr>
              <w:rPr>
                <w:sz w:val="22"/>
                <w:szCs w:val="22"/>
                <w:highlight w:val="yellow"/>
              </w:rPr>
            </w:pPr>
          </w:p>
        </w:tc>
        <w:tc>
          <w:tcPr>
            <w:tcW w:w="1701" w:type="dxa"/>
            <w:shd w:val="clear" w:color="auto" w:fill="D9D9D9" w:themeFill="background1" w:themeFillShade="D9"/>
          </w:tcPr>
          <w:p w:rsidR="006A6577" w:rsidRPr="00616763" w:rsidRDefault="006A6577" w:rsidP="00CD6642">
            <w:pPr>
              <w:rPr>
                <w:sz w:val="22"/>
                <w:szCs w:val="22"/>
                <w:highlight w:val="yellow"/>
              </w:rPr>
            </w:pPr>
            <w:r w:rsidRPr="00616763">
              <w:rPr>
                <w:sz w:val="22"/>
                <w:szCs w:val="22"/>
              </w:rPr>
              <w:t>Feb 15 to Mar 16</w:t>
            </w:r>
          </w:p>
        </w:tc>
        <w:tc>
          <w:tcPr>
            <w:tcW w:w="4536" w:type="dxa"/>
            <w:shd w:val="clear" w:color="auto" w:fill="D9D9D9" w:themeFill="background1" w:themeFillShade="D9"/>
          </w:tcPr>
          <w:p w:rsidR="006A6577" w:rsidRPr="00616763" w:rsidRDefault="006A6577" w:rsidP="00CD6642">
            <w:pPr>
              <w:rPr>
                <w:sz w:val="22"/>
                <w:szCs w:val="22"/>
                <w:highlight w:val="yellow"/>
              </w:rPr>
            </w:pPr>
            <w:r w:rsidRPr="00616763">
              <w:rPr>
                <w:sz w:val="22"/>
                <w:szCs w:val="22"/>
              </w:rPr>
              <w:t>Ensure a more consistent approach is taken in dealing with people affected by welfare reform across different organisations.</w:t>
            </w:r>
          </w:p>
        </w:tc>
        <w:tc>
          <w:tcPr>
            <w:tcW w:w="2268" w:type="dxa"/>
            <w:shd w:val="clear" w:color="auto" w:fill="D9D9D9" w:themeFill="background1" w:themeFillShade="D9"/>
          </w:tcPr>
          <w:p w:rsidR="006A6577" w:rsidRPr="00616763" w:rsidRDefault="006A6577" w:rsidP="00CD6642">
            <w:pPr>
              <w:rPr>
                <w:sz w:val="22"/>
                <w:szCs w:val="22"/>
                <w:highlight w:val="yellow"/>
              </w:rPr>
            </w:pPr>
            <w:r w:rsidRPr="00616763">
              <w:rPr>
                <w:sz w:val="22"/>
                <w:szCs w:val="22"/>
              </w:rPr>
              <w:t>Welfare Reform Manager</w:t>
            </w:r>
          </w:p>
        </w:tc>
        <w:tc>
          <w:tcPr>
            <w:tcW w:w="1985" w:type="dxa"/>
            <w:shd w:val="clear" w:color="auto" w:fill="D9D9D9" w:themeFill="background1" w:themeFillShade="D9"/>
          </w:tcPr>
          <w:p w:rsidR="006A6577" w:rsidRPr="00616763" w:rsidRDefault="006A6577" w:rsidP="00CD6642">
            <w:pPr>
              <w:rPr>
                <w:sz w:val="22"/>
                <w:szCs w:val="22"/>
                <w:highlight w:val="yellow"/>
              </w:rPr>
            </w:pPr>
            <w:r w:rsidRPr="00616763">
              <w:rPr>
                <w:sz w:val="22"/>
                <w:szCs w:val="22"/>
              </w:rPr>
              <w:t>Various</w:t>
            </w:r>
          </w:p>
        </w:tc>
      </w:tr>
      <w:tr w:rsidR="006A6577" w:rsidRPr="00616763" w:rsidTr="00CD6642">
        <w:tc>
          <w:tcPr>
            <w:tcW w:w="1135" w:type="dxa"/>
            <w:vMerge w:val="restart"/>
            <w:shd w:val="clear" w:color="auto" w:fill="FFFFFF" w:themeFill="background1"/>
            <w:textDirection w:val="btLr"/>
          </w:tcPr>
          <w:p w:rsidR="006A6577" w:rsidRPr="00616763" w:rsidRDefault="006A6577" w:rsidP="00CD6642">
            <w:pPr>
              <w:ind w:left="113" w:right="113"/>
              <w:jc w:val="center"/>
              <w:rPr>
                <w:sz w:val="22"/>
                <w:szCs w:val="22"/>
              </w:rPr>
            </w:pPr>
            <w:r w:rsidRPr="00616763">
              <w:rPr>
                <w:sz w:val="22"/>
                <w:szCs w:val="22"/>
              </w:rPr>
              <w:t>SKILLS – Short Term</w:t>
            </w:r>
          </w:p>
        </w:tc>
        <w:tc>
          <w:tcPr>
            <w:tcW w:w="3827" w:type="dxa"/>
            <w:shd w:val="clear" w:color="auto" w:fill="FFFFFF" w:themeFill="background1"/>
          </w:tcPr>
          <w:p w:rsidR="006A6577" w:rsidRPr="00616763" w:rsidRDefault="006A6577" w:rsidP="00CD6642">
            <w:pPr>
              <w:rPr>
                <w:sz w:val="22"/>
                <w:szCs w:val="22"/>
                <w:highlight w:val="cyan"/>
              </w:rPr>
            </w:pPr>
            <w:r>
              <w:rPr>
                <w:sz w:val="22"/>
                <w:szCs w:val="22"/>
              </w:rPr>
              <w:t xml:space="preserve">24. </w:t>
            </w:r>
            <w:r w:rsidRPr="00616763">
              <w:rPr>
                <w:sz w:val="22"/>
                <w:szCs w:val="22"/>
              </w:rPr>
              <w:t>Support customers to access digital services, particularly those migrating to Universal Credit</w:t>
            </w:r>
          </w:p>
        </w:tc>
        <w:tc>
          <w:tcPr>
            <w:tcW w:w="1701" w:type="dxa"/>
            <w:shd w:val="clear" w:color="auto" w:fill="FFFFFF" w:themeFill="background1"/>
          </w:tcPr>
          <w:p w:rsidR="006A6577" w:rsidRPr="00616763" w:rsidRDefault="006A6577" w:rsidP="00CD6642">
            <w:pPr>
              <w:rPr>
                <w:sz w:val="22"/>
                <w:szCs w:val="22"/>
                <w:highlight w:val="cyan"/>
              </w:rPr>
            </w:pPr>
            <w:r w:rsidRPr="00616763">
              <w:rPr>
                <w:sz w:val="22"/>
                <w:szCs w:val="22"/>
              </w:rPr>
              <w:t>By Sep 15</w:t>
            </w:r>
          </w:p>
        </w:tc>
        <w:tc>
          <w:tcPr>
            <w:tcW w:w="4536" w:type="dxa"/>
            <w:shd w:val="clear" w:color="auto" w:fill="FFFFFF" w:themeFill="background1"/>
          </w:tcPr>
          <w:p w:rsidR="006A6577" w:rsidRPr="00616763" w:rsidRDefault="006A6577" w:rsidP="00CD6642">
            <w:pPr>
              <w:rPr>
                <w:sz w:val="22"/>
                <w:szCs w:val="22"/>
                <w:highlight w:val="cyan"/>
              </w:rPr>
            </w:pPr>
            <w:r w:rsidRPr="00616763">
              <w:rPr>
                <w:sz w:val="22"/>
                <w:szCs w:val="22"/>
              </w:rPr>
              <w:t>Customers are supported to access online services.</w:t>
            </w:r>
          </w:p>
        </w:tc>
        <w:tc>
          <w:tcPr>
            <w:tcW w:w="2268" w:type="dxa"/>
            <w:shd w:val="clear" w:color="auto" w:fill="FFFFFF" w:themeFill="background1"/>
          </w:tcPr>
          <w:p w:rsidR="006A6577" w:rsidRPr="00616763" w:rsidRDefault="006A6577" w:rsidP="00CD6642">
            <w:pPr>
              <w:rPr>
                <w:sz w:val="22"/>
                <w:szCs w:val="22"/>
                <w:highlight w:val="yellow"/>
              </w:rPr>
            </w:pPr>
            <w:r w:rsidRPr="00616763">
              <w:rPr>
                <w:sz w:val="22"/>
                <w:szCs w:val="22"/>
              </w:rPr>
              <w:t>R&amp;B Programme Manager</w:t>
            </w:r>
          </w:p>
        </w:tc>
        <w:tc>
          <w:tcPr>
            <w:tcW w:w="1985" w:type="dxa"/>
            <w:shd w:val="clear" w:color="auto" w:fill="FFFFFF" w:themeFill="background1"/>
          </w:tcPr>
          <w:p w:rsidR="006A6577" w:rsidRPr="00616763" w:rsidRDefault="006A6577" w:rsidP="00CD6642">
            <w:pPr>
              <w:rPr>
                <w:sz w:val="22"/>
                <w:szCs w:val="22"/>
                <w:highlight w:val="yellow"/>
              </w:rPr>
            </w:pPr>
            <w:r w:rsidRPr="00616763">
              <w:rPr>
                <w:sz w:val="22"/>
                <w:szCs w:val="22"/>
              </w:rPr>
              <w:t>Library Services</w:t>
            </w:r>
          </w:p>
        </w:tc>
      </w:tr>
      <w:tr w:rsidR="006A6577" w:rsidRPr="00616763" w:rsidTr="00CD6642">
        <w:tc>
          <w:tcPr>
            <w:tcW w:w="1135" w:type="dxa"/>
            <w:vMerge/>
            <w:shd w:val="clear" w:color="auto" w:fill="FFFFFF" w:themeFill="background1"/>
          </w:tcPr>
          <w:p w:rsidR="006A6577" w:rsidRPr="00616763" w:rsidRDefault="006A6577" w:rsidP="00CD6642">
            <w:pPr>
              <w:ind w:left="113" w:right="113"/>
              <w:rPr>
                <w:sz w:val="22"/>
                <w:szCs w:val="22"/>
              </w:rPr>
            </w:pPr>
          </w:p>
        </w:tc>
        <w:tc>
          <w:tcPr>
            <w:tcW w:w="3827" w:type="dxa"/>
            <w:shd w:val="clear" w:color="auto" w:fill="FFFFFF" w:themeFill="background1"/>
          </w:tcPr>
          <w:p w:rsidR="006A6577" w:rsidRPr="00616763" w:rsidRDefault="006A6577" w:rsidP="00CD6642">
            <w:pPr>
              <w:rPr>
                <w:sz w:val="22"/>
                <w:szCs w:val="22"/>
              </w:rPr>
            </w:pPr>
            <w:r>
              <w:rPr>
                <w:sz w:val="22"/>
                <w:szCs w:val="22"/>
              </w:rPr>
              <w:t xml:space="preserve">25. </w:t>
            </w:r>
            <w:r w:rsidRPr="00616763">
              <w:rPr>
                <w:sz w:val="22"/>
                <w:szCs w:val="22"/>
              </w:rPr>
              <w:t>Explore the scope to work with adult education providers City College to provide short, focused training as part of the offer to residents</w:t>
            </w:r>
          </w:p>
        </w:tc>
        <w:tc>
          <w:tcPr>
            <w:tcW w:w="1701" w:type="dxa"/>
            <w:shd w:val="clear" w:color="auto" w:fill="FFFFFF" w:themeFill="background1"/>
          </w:tcPr>
          <w:p w:rsidR="006A6577" w:rsidRPr="00616763" w:rsidRDefault="006A6577" w:rsidP="00CD6642">
            <w:pPr>
              <w:rPr>
                <w:sz w:val="22"/>
                <w:szCs w:val="22"/>
              </w:rPr>
            </w:pPr>
            <w:r w:rsidRPr="00616763">
              <w:rPr>
                <w:sz w:val="22"/>
                <w:szCs w:val="22"/>
              </w:rPr>
              <w:t>June 14 to June 15</w:t>
            </w:r>
          </w:p>
        </w:tc>
        <w:tc>
          <w:tcPr>
            <w:tcW w:w="4536" w:type="dxa"/>
            <w:shd w:val="clear" w:color="auto" w:fill="FFFFFF" w:themeFill="background1"/>
          </w:tcPr>
          <w:p w:rsidR="006A6577" w:rsidRPr="00616763" w:rsidRDefault="006A6577" w:rsidP="00CD6642">
            <w:pPr>
              <w:rPr>
                <w:sz w:val="22"/>
                <w:szCs w:val="22"/>
              </w:rPr>
            </w:pPr>
            <w:r w:rsidRPr="00616763">
              <w:rPr>
                <w:sz w:val="22"/>
                <w:szCs w:val="22"/>
              </w:rPr>
              <w:t>Ensure people affected by welfare reforms have the necessary skills to allow them to find work locally</w:t>
            </w:r>
          </w:p>
        </w:tc>
        <w:tc>
          <w:tcPr>
            <w:tcW w:w="2268" w:type="dxa"/>
            <w:shd w:val="clear" w:color="auto" w:fill="FFFFFF" w:themeFill="background1"/>
          </w:tcPr>
          <w:p w:rsidR="006A6577" w:rsidRPr="00616763" w:rsidRDefault="006A6577" w:rsidP="00CD6642">
            <w:pPr>
              <w:rPr>
                <w:sz w:val="22"/>
                <w:szCs w:val="22"/>
              </w:rPr>
            </w:pPr>
            <w:r w:rsidRPr="00616763">
              <w:rPr>
                <w:sz w:val="22"/>
                <w:szCs w:val="22"/>
              </w:rPr>
              <w:t>Welfare Reform manager</w:t>
            </w:r>
          </w:p>
        </w:tc>
        <w:tc>
          <w:tcPr>
            <w:tcW w:w="1985" w:type="dxa"/>
            <w:shd w:val="clear" w:color="auto" w:fill="FFFFFF" w:themeFill="background1"/>
          </w:tcPr>
          <w:p w:rsidR="006A6577" w:rsidRPr="00616763" w:rsidRDefault="006A6577" w:rsidP="00CD6642">
            <w:pPr>
              <w:rPr>
                <w:sz w:val="22"/>
                <w:szCs w:val="22"/>
              </w:rPr>
            </w:pPr>
            <w:r w:rsidRPr="00616763">
              <w:rPr>
                <w:sz w:val="22"/>
                <w:szCs w:val="22"/>
              </w:rPr>
              <w:t>City of Oxford College, EMBS, WEA</w:t>
            </w:r>
          </w:p>
        </w:tc>
      </w:tr>
      <w:tr w:rsidR="006A6577" w:rsidRPr="00616763" w:rsidTr="00CD6642">
        <w:trPr>
          <w:trHeight w:val="79"/>
        </w:trPr>
        <w:tc>
          <w:tcPr>
            <w:tcW w:w="1135" w:type="dxa"/>
            <w:vMerge/>
            <w:shd w:val="clear" w:color="auto" w:fill="FFFFFF" w:themeFill="background1"/>
          </w:tcPr>
          <w:p w:rsidR="006A6577" w:rsidRPr="00616763" w:rsidRDefault="006A6577" w:rsidP="00CD6642">
            <w:pPr>
              <w:ind w:left="113" w:right="113"/>
              <w:rPr>
                <w:sz w:val="22"/>
                <w:szCs w:val="22"/>
              </w:rPr>
            </w:pPr>
          </w:p>
        </w:tc>
        <w:tc>
          <w:tcPr>
            <w:tcW w:w="3827" w:type="dxa"/>
            <w:shd w:val="clear" w:color="auto" w:fill="FFFFFF" w:themeFill="background1"/>
          </w:tcPr>
          <w:p w:rsidR="006A6577" w:rsidRPr="00616763" w:rsidRDefault="006A6577" w:rsidP="00CD6642">
            <w:pPr>
              <w:rPr>
                <w:sz w:val="22"/>
                <w:szCs w:val="22"/>
              </w:rPr>
            </w:pPr>
            <w:r>
              <w:rPr>
                <w:sz w:val="22"/>
                <w:szCs w:val="22"/>
              </w:rPr>
              <w:t xml:space="preserve">26. </w:t>
            </w:r>
            <w:r w:rsidRPr="00616763">
              <w:rPr>
                <w:sz w:val="22"/>
                <w:szCs w:val="22"/>
              </w:rPr>
              <w:t>Work through communities and local services to engage those further from support</w:t>
            </w:r>
          </w:p>
        </w:tc>
        <w:tc>
          <w:tcPr>
            <w:tcW w:w="1701" w:type="dxa"/>
            <w:shd w:val="clear" w:color="auto" w:fill="FFFFFF" w:themeFill="background1"/>
          </w:tcPr>
          <w:p w:rsidR="006A6577" w:rsidRPr="00616763" w:rsidRDefault="006A6577" w:rsidP="00CD6642">
            <w:pPr>
              <w:rPr>
                <w:sz w:val="22"/>
                <w:szCs w:val="22"/>
              </w:rPr>
            </w:pPr>
            <w:r w:rsidRPr="00616763">
              <w:rPr>
                <w:sz w:val="22"/>
                <w:szCs w:val="22"/>
              </w:rPr>
              <w:t>On-going</w:t>
            </w:r>
          </w:p>
        </w:tc>
        <w:tc>
          <w:tcPr>
            <w:tcW w:w="4536" w:type="dxa"/>
            <w:shd w:val="clear" w:color="auto" w:fill="FFFFFF" w:themeFill="background1"/>
          </w:tcPr>
          <w:p w:rsidR="006A6577" w:rsidRPr="00616763" w:rsidRDefault="006A6577" w:rsidP="00CD6642">
            <w:pPr>
              <w:rPr>
                <w:sz w:val="22"/>
                <w:szCs w:val="22"/>
              </w:rPr>
            </w:pPr>
            <w:r w:rsidRPr="00616763">
              <w:rPr>
                <w:sz w:val="22"/>
                <w:szCs w:val="22"/>
              </w:rPr>
              <w:t>Explore whether community champions and peer support can be used effectively to support people affected by Welfare Reforms</w:t>
            </w:r>
          </w:p>
        </w:tc>
        <w:tc>
          <w:tcPr>
            <w:tcW w:w="2268" w:type="dxa"/>
            <w:shd w:val="clear" w:color="auto" w:fill="FFFFFF" w:themeFill="background1"/>
          </w:tcPr>
          <w:p w:rsidR="006A6577" w:rsidRPr="00616763" w:rsidRDefault="006A6577" w:rsidP="00CD6642">
            <w:pPr>
              <w:rPr>
                <w:sz w:val="22"/>
                <w:szCs w:val="22"/>
              </w:rPr>
            </w:pPr>
            <w:r w:rsidRPr="00616763">
              <w:rPr>
                <w:sz w:val="22"/>
                <w:szCs w:val="22"/>
              </w:rPr>
              <w:t>Welfare Reform manager</w:t>
            </w:r>
          </w:p>
        </w:tc>
        <w:tc>
          <w:tcPr>
            <w:tcW w:w="1985" w:type="dxa"/>
            <w:shd w:val="clear" w:color="auto" w:fill="FFFFFF" w:themeFill="background1"/>
          </w:tcPr>
          <w:p w:rsidR="006A6577" w:rsidRPr="00616763" w:rsidRDefault="006A6577" w:rsidP="00CD6642">
            <w:pPr>
              <w:rPr>
                <w:sz w:val="22"/>
                <w:szCs w:val="22"/>
              </w:rPr>
            </w:pPr>
            <w:r w:rsidRPr="00616763">
              <w:rPr>
                <w:sz w:val="22"/>
                <w:szCs w:val="22"/>
              </w:rPr>
              <w:t>C</w:t>
            </w:r>
            <w:r>
              <w:rPr>
                <w:sz w:val="22"/>
                <w:szCs w:val="22"/>
              </w:rPr>
              <w:t>ommunities</w:t>
            </w:r>
            <w:r w:rsidRPr="00616763">
              <w:rPr>
                <w:sz w:val="22"/>
                <w:szCs w:val="22"/>
              </w:rPr>
              <w:t xml:space="preserve"> </w:t>
            </w:r>
            <w:r>
              <w:rPr>
                <w:sz w:val="22"/>
                <w:szCs w:val="22"/>
              </w:rPr>
              <w:t xml:space="preserve">&amp; Neighbourhoods </w:t>
            </w:r>
            <w:r w:rsidRPr="00616763">
              <w:rPr>
                <w:sz w:val="22"/>
                <w:szCs w:val="22"/>
              </w:rPr>
              <w:t>Team</w:t>
            </w:r>
          </w:p>
        </w:tc>
      </w:tr>
      <w:tr w:rsidR="006A6577" w:rsidRPr="00616763" w:rsidTr="00CD6642">
        <w:trPr>
          <w:cantSplit/>
          <w:trHeight w:val="742"/>
        </w:trPr>
        <w:tc>
          <w:tcPr>
            <w:tcW w:w="1135" w:type="dxa"/>
            <w:vMerge/>
            <w:shd w:val="clear" w:color="auto" w:fill="FFFFFF" w:themeFill="background1"/>
            <w:textDirection w:val="btLr"/>
          </w:tcPr>
          <w:p w:rsidR="006A6577" w:rsidRPr="00616763" w:rsidRDefault="006A6577" w:rsidP="00CD6642">
            <w:pPr>
              <w:ind w:left="113" w:right="113"/>
              <w:rPr>
                <w:sz w:val="22"/>
                <w:szCs w:val="22"/>
              </w:rPr>
            </w:pPr>
          </w:p>
        </w:tc>
        <w:tc>
          <w:tcPr>
            <w:tcW w:w="3827" w:type="dxa"/>
            <w:shd w:val="clear" w:color="auto" w:fill="FFFFFF" w:themeFill="background1"/>
          </w:tcPr>
          <w:p w:rsidR="006A6577" w:rsidRPr="00616763" w:rsidRDefault="006A6577" w:rsidP="00CD6642">
            <w:pPr>
              <w:rPr>
                <w:sz w:val="22"/>
                <w:szCs w:val="22"/>
              </w:rPr>
            </w:pPr>
            <w:r>
              <w:rPr>
                <w:sz w:val="22"/>
                <w:szCs w:val="22"/>
              </w:rPr>
              <w:t xml:space="preserve">27. </w:t>
            </w:r>
            <w:r w:rsidRPr="00616763">
              <w:rPr>
                <w:sz w:val="22"/>
                <w:szCs w:val="22"/>
              </w:rPr>
              <w:t>Use the Delivery Partnership Agreement to explore options for supporting recipients of UC.</w:t>
            </w:r>
          </w:p>
        </w:tc>
        <w:tc>
          <w:tcPr>
            <w:tcW w:w="1701" w:type="dxa"/>
            <w:shd w:val="clear" w:color="auto" w:fill="FFFFFF" w:themeFill="background1"/>
          </w:tcPr>
          <w:p w:rsidR="006A6577" w:rsidRPr="00616763" w:rsidRDefault="006A6577" w:rsidP="00CD6642">
            <w:pPr>
              <w:rPr>
                <w:sz w:val="22"/>
                <w:szCs w:val="22"/>
              </w:rPr>
            </w:pPr>
            <w:r w:rsidRPr="00616763">
              <w:rPr>
                <w:sz w:val="22"/>
                <w:szCs w:val="22"/>
              </w:rPr>
              <w:t>Jan 15 to Mar 16</w:t>
            </w:r>
          </w:p>
        </w:tc>
        <w:tc>
          <w:tcPr>
            <w:tcW w:w="4536" w:type="dxa"/>
            <w:shd w:val="clear" w:color="auto" w:fill="FFFFFF" w:themeFill="background1"/>
          </w:tcPr>
          <w:p w:rsidR="006A6577" w:rsidRPr="00616763" w:rsidRDefault="006A6577" w:rsidP="00CD6642">
            <w:pPr>
              <w:rPr>
                <w:sz w:val="22"/>
                <w:szCs w:val="22"/>
              </w:rPr>
            </w:pPr>
            <w:r w:rsidRPr="00616763">
              <w:rPr>
                <w:sz w:val="22"/>
                <w:szCs w:val="22"/>
              </w:rPr>
              <w:t>Use the D</w:t>
            </w:r>
            <w:r>
              <w:rPr>
                <w:sz w:val="22"/>
                <w:szCs w:val="22"/>
              </w:rPr>
              <w:t xml:space="preserve">elivery </w:t>
            </w:r>
            <w:r w:rsidRPr="00616763">
              <w:rPr>
                <w:sz w:val="22"/>
                <w:szCs w:val="22"/>
              </w:rPr>
              <w:t>P</w:t>
            </w:r>
            <w:r>
              <w:rPr>
                <w:sz w:val="22"/>
                <w:szCs w:val="22"/>
              </w:rPr>
              <w:t xml:space="preserve">artnership </w:t>
            </w:r>
            <w:r w:rsidRPr="00616763">
              <w:rPr>
                <w:sz w:val="22"/>
                <w:szCs w:val="22"/>
              </w:rPr>
              <w:t>A</w:t>
            </w:r>
            <w:r>
              <w:rPr>
                <w:sz w:val="22"/>
                <w:szCs w:val="22"/>
              </w:rPr>
              <w:t>greement</w:t>
            </w:r>
            <w:r w:rsidRPr="00616763">
              <w:rPr>
                <w:sz w:val="22"/>
                <w:szCs w:val="22"/>
              </w:rPr>
              <w:t xml:space="preserve"> to test how different needs can be delivered by working together with local providers</w:t>
            </w:r>
          </w:p>
        </w:tc>
        <w:tc>
          <w:tcPr>
            <w:tcW w:w="2268" w:type="dxa"/>
            <w:shd w:val="clear" w:color="auto" w:fill="FFFFFF" w:themeFill="background1"/>
          </w:tcPr>
          <w:p w:rsidR="006A6577" w:rsidRPr="00616763" w:rsidRDefault="006A6577" w:rsidP="00CD6642">
            <w:pPr>
              <w:rPr>
                <w:sz w:val="22"/>
                <w:szCs w:val="22"/>
              </w:rPr>
            </w:pPr>
            <w:r w:rsidRPr="00616763">
              <w:rPr>
                <w:sz w:val="22"/>
                <w:szCs w:val="22"/>
              </w:rPr>
              <w:t>R&amp;B Programme Manager</w:t>
            </w:r>
          </w:p>
        </w:tc>
        <w:tc>
          <w:tcPr>
            <w:tcW w:w="1985" w:type="dxa"/>
            <w:shd w:val="clear" w:color="auto" w:fill="FFFFFF" w:themeFill="background1"/>
          </w:tcPr>
          <w:p w:rsidR="006A6577" w:rsidRPr="00616763" w:rsidRDefault="006A6577" w:rsidP="00CD6642">
            <w:pPr>
              <w:rPr>
                <w:sz w:val="22"/>
                <w:szCs w:val="22"/>
              </w:rPr>
            </w:pPr>
            <w:r w:rsidRPr="00616763">
              <w:rPr>
                <w:sz w:val="22"/>
                <w:szCs w:val="22"/>
              </w:rPr>
              <w:t xml:space="preserve">Various, including the Social Housing Sector </w:t>
            </w:r>
          </w:p>
        </w:tc>
      </w:tr>
      <w:tr w:rsidR="006A6577" w:rsidRPr="00616763" w:rsidTr="00CD6642">
        <w:trPr>
          <w:cantSplit/>
          <w:trHeight w:val="730"/>
        </w:trPr>
        <w:tc>
          <w:tcPr>
            <w:tcW w:w="1135" w:type="dxa"/>
            <w:vMerge/>
            <w:shd w:val="clear" w:color="auto" w:fill="FFFFFF" w:themeFill="background1"/>
            <w:textDirection w:val="btLr"/>
          </w:tcPr>
          <w:p w:rsidR="006A6577" w:rsidRPr="00616763" w:rsidRDefault="006A6577" w:rsidP="00CD6642">
            <w:pPr>
              <w:ind w:left="113" w:right="113"/>
              <w:rPr>
                <w:sz w:val="22"/>
                <w:szCs w:val="22"/>
              </w:rPr>
            </w:pPr>
          </w:p>
        </w:tc>
        <w:tc>
          <w:tcPr>
            <w:tcW w:w="3827" w:type="dxa"/>
            <w:shd w:val="clear" w:color="auto" w:fill="FFFFFF" w:themeFill="background1"/>
          </w:tcPr>
          <w:p w:rsidR="006A6577" w:rsidRPr="00616763" w:rsidRDefault="006A6577" w:rsidP="00CD6642">
            <w:pPr>
              <w:rPr>
                <w:sz w:val="22"/>
                <w:szCs w:val="22"/>
              </w:rPr>
            </w:pPr>
            <w:r>
              <w:rPr>
                <w:sz w:val="22"/>
                <w:szCs w:val="22"/>
              </w:rPr>
              <w:t xml:space="preserve">28. </w:t>
            </w:r>
            <w:r w:rsidRPr="00616763">
              <w:rPr>
                <w:sz w:val="22"/>
                <w:szCs w:val="22"/>
              </w:rPr>
              <w:t>Build on ‘Benefits in Practice’ to reach those with health conditions and disabled people</w:t>
            </w:r>
          </w:p>
        </w:tc>
        <w:tc>
          <w:tcPr>
            <w:tcW w:w="1701" w:type="dxa"/>
            <w:shd w:val="clear" w:color="auto" w:fill="FFFFFF" w:themeFill="background1"/>
          </w:tcPr>
          <w:p w:rsidR="006A6577" w:rsidRPr="00616763" w:rsidRDefault="006A6577" w:rsidP="00CD6642">
            <w:pPr>
              <w:rPr>
                <w:sz w:val="22"/>
                <w:szCs w:val="22"/>
              </w:rPr>
            </w:pPr>
            <w:r w:rsidRPr="00616763">
              <w:rPr>
                <w:sz w:val="22"/>
                <w:szCs w:val="22"/>
              </w:rPr>
              <w:t>Jan 15 to Jun 15</w:t>
            </w:r>
          </w:p>
        </w:tc>
        <w:tc>
          <w:tcPr>
            <w:tcW w:w="4536" w:type="dxa"/>
            <w:shd w:val="clear" w:color="auto" w:fill="FFFFFF" w:themeFill="background1"/>
          </w:tcPr>
          <w:p w:rsidR="006A6577" w:rsidRPr="00616763" w:rsidRDefault="006A6577" w:rsidP="00CD6642">
            <w:pPr>
              <w:rPr>
                <w:sz w:val="22"/>
                <w:szCs w:val="22"/>
              </w:rPr>
            </w:pPr>
            <w:r w:rsidRPr="00616763">
              <w:rPr>
                <w:sz w:val="22"/>
                <w:szCs w:val="22"/>
              </w:rPr>
              <w:t>Improve access to the Welfare Reform team for harder to reach customers</w:t>
            </w:r>
          </w:p>
        </w:tc>
        <w:tc>
          <w:tcPr>
            <w:tcW w:w="2268" w:type="dxa"/>
            <w:shd w:val="clear" w:color="auto" w:fill="FFFFFF" w:themeFill="background1"/>
          </w:tcPr>
          <w:p w:rsidR="006A6577" w:rsidRPr="00616763" w:rsidRDefault="006A6577" w:rsidP="00CD6642">
            <w:pPr>
              <w:rPr>
                <w:sz w:val="22"/>
                <w:szCs w:val="22"/>
              </w:rPr>
            </w:pPr>
            <w:r w:rsidRPr="00616763">
              <w:rPr>
                <w:sz w:val="22"/>
                <w:szCs w:val="22"/>
              </w:rPr>
              <w:t>Welfare Reform Manager</w:t>
            </w:r>
          </w:p>
        </w:tc>
        <w:tc>
          <w:tcPr>
            <w:tcW w:w="1985" w:type="dxa"/>
            <w:shd w:val="clear" w:color="auto" w:fill="FFFFFF" w:themeFill="background1"/>
          </w:tcPr>
          <w:p w:rsidR="006A6577" w:rsidRPr="00616763" w:rsidRDefault="006A6577" w:rsidP="00CD6642">
            <w:pPr>
              <w:rPr>
                <w:sz w:val="22"/>
                <w:szCs w:val="22"/>
              </w:rPr>
            </w:pPr>
            <w:r w:rsidRPr="00616763">
              <w:rPr>
                <w:sz w:val="22"/>
                <w:szCs w:val="22"/>
              </w:rPr>
              <w:t>Health Improvement Board</w:t>
            </w:r>
          </w:p>
        </w:tc>
      </w:tr>
      <w:tr w:rsidR="006A6577" w:rsidRPr="00616763" w:rsidTr="00CD6642">
        <w:trPr>
          <w:cantSplit/>
          <w:trHeight w:val="405"/>
        </w:trPr>
        <w:tc>
          <w:tcPr>
            <w:tcW w:w="1135" w:type="dxa"/>
            <w:vMerge w:val="restart"/>
            <w:shd w:val="clear" w:color="auto" w:fill="D9D9D9" w:themeFill="background1" w:themeFillShade="D9"/>
            <w:textDirection w:val="btLr"/>
          </w:tcPr>
          <w:p w:rsidR="006A6577" w:rsidRPr="00616763" w:rsidRDefault="006A6577" w:rsidP="00CD6642">
            <w:pPr>
              <w:ind w:left="113" w:right="113"/>
              <w:jc w:val="center"/>
              <w:rPr>
                <w:sz w:val="22"/>
                <w:szCs w:val="22"/>
              </w:rPr>
            </w:pPr>
            <w:r w:rsidRPr="00616763">
              <w:rPr>
                <w:sz w:val="22"/>
                <w:szCs w:val="22"/>
              </w:rPr>
              <w:t>SKILLS – Long Term</w:t>
            </w:r>
          </w:p>
        </w:tc>
        <w:tc>
          <w:tcPr>
            <w:tcW w:w="3827"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TASK</w:t>
            </w:r>
          </w:p>
        </w:tc>
        <w:tc>
          <w:tcPr>
            <w:tcW w:w="1701"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TIMESCALE</w:t>
            </w:r>
          </w:p>
        </w:tc>
        <w:tc>
          <w:tcPr>
            <w:tcW w:w="4536"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TARGET/OUTCOME</w:t>
            </w:r>
          </w:p>
        </w:tc>
        <w:tc>
          <w:tcPr>
            <w:tcW w:w="2268"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RESPONSIBLITY</w:t>
            </w:r>
          </w:p>
        </w:tc>
        <w:tc>
          <w:tcPr>
            <w:tcW w:w="1985" w:type="dxa"/>
            <w:shd w:val="clear" w:color="auto" w:fill="D9D9D9" w:themeFill="background1" w:themeFillShade="D9"/>
          </w:tcPr>
          <w:p w:rsidR="006A6577" w:rsidRPr="00616763" w:rsidRDefault="006A6577" w:rsidP="00CD6642">
            <w:pPr>
              <w:jc w:val="center"/>
              <w:rPr>
                <w:b/>
                <w:sz w:val="22"/>
                <w:szCs w:val="22"/>
              </w:rPr>
            </w:pPr>
            <w:r w:rsidRPr="00616763">
              <w:rPr>
                <w:b/>
                <w:sz w:val="22"/>
                <w:szCs w:val="22"/>
              </w:rPr>
              <w:t>DELIVERY PARTNERS</w:t>
            </w:r>
          </w:p>
        </w:tc>
      </w:tr>
      <w:tr w:rsidR="006A6577" w:rsidRPr="00616763" w:rsidTr="00CD6642">
        <w:trPr>
          <w:cantSplit/>
          <w:trHeight w:val="758"/>
        </w:trPr>
        <w:tc>
          <w:tcPr>
            <w:tcW w:w="1135" w:type="dxa"/>
            <w:vMerge/>
            <w:shd w:val="clear" w:color="auto" w:fill="D9D9D9" w:themeFill="background1" w:themeFillShade="D9"/>
            <w:textDirection w:val="btLr"/>
          </w:tcPr>
          <w:p w:rsidR="006A6577" w:rsidRPr="00616763" w:rsidRDefault="006A6577" w:rsidP="00CD6642">
            <w:pPr>
              <w:ind w:left="113" w:right="113"/>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29. </w:t>
            </w:r>
            <w:r w:rsidRPr="00616763">
              <w:rPr>
                <w:sz w:val="22"/>
                <w:szCs w:val="22"/>
              </w:rPr>
              <w:t>Ensure effective bids are made for Labour Market funding which has been devolved to the LEP.</w:t>
            </w:r>
          </w:p>
          <w:p w:rsidR="006A6577" w:rsidRPr="00616763" w:rsidRDefault="006A6577" w:rsidP="00CD6642">
            <w:pPr>
              <w:rPr>
                <w:sz w:val="22"/>
                <w:szCs w:val="22"/>
              </w:rPr>
            </w:pPr>
            <w:r w:rsidRPr="00616763">
              <w:rPr>
                <w:sz w:val="22"/>
                <w:szCs w:val="22"/>
              </w:rPr>
              <w:t>Consider opportunities for active Council involvement in these bids.</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Sep 15 to Dec 15</w:t>
            </w:r>
          </w:p>
        </w:tc>
        <w:tc>
          <w:tcPr>
            <w:tcW w:w="4536" w:type="dxa"/>
            <w:shd w:val="clear" w:color="auto" w:fill="D9D9D9" w:themeFill="background1" w:themeFillShade="D9"/>
          </w:tcPr>
          <w:p w:rsidR="006A6577" w:rsidRDefault="006A6577" w:rsidP="00CD6642">
            <w:pPr>
              <w:rPr>
                <w:sz w:val="22"/>
                <w:szCs w:val="22"/>
              </w:rPr>
            </w:pPr>
            <w:r w:rsidRPr="00616763">
              <w:rPr>
                <w:sz w:val="22"/>
                <w:szCs w:val="22"/>
              </w:rPr>
              <w:t>Effective medium to long term programmes are established to support those furthest from the labour market into work, and to support key groups  into work (over 50’s, single parents, young people)</w:t>
            </w:r>
          </w:p>
          <w:p w:rsidR="006A6577" w:rsidRPr="00616763" w:rsidRDefault="006A6577" w:rsidP="00CD6642">
            <w:pPr>
              <w:rPr>
                <w:sz w:val="22"/>
                <w:szCs w:val="22"/>
              </w:rPr>
            </w:pP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R&amp;B Programme Manager</w:t>
            </w:r>
          </w:p>
        </w:tc>
        <w:tc>
          <w:tcPr>
            <w:tcW w:w="1985" w:type="dxa"/>
            <w:shd w:val="clear" w:color="auto" w:fill="D9D9D9" w:themeFill="background1" w:themeFillShade="D9"/>
          </w:tcPr>
          <w:p w:rsidR="006A6577" w:rsidRPr="00616763" w:rsidRDefault="006A6577" w:rsidP="00CD6642">
            <w:pPr>
              <w:rPr>
                <w:sz w:val="22"/>
                <w:szCs w:val="22"/>
              </w:rPr>
            </w:pPr>
            <w:r w:rsidRPr="00616763">
              <w:rPr>
                <w:sz w:val="22"/>
                <w:szCs w:val="22"/>
              </w:rPr>
              <w:t>Various including JCP, Thriving Families, Aspire</w:t>
            </w:r>
          </w:p>
        </w:tc>
      </w:tr>
      <w:tr w:rsidR="006A6577" w:rsidRPr="00616763" w:rsidTr="00CD6642">
        <w:trPr>
          <w:cantSplit/>
          <w:trHeight w:val="758"/>
        </w:trPr>
        <w:tc>
          <w:tcPr>
            <w:tcW w:w="1135" w:type="dxa"/>
            <w:vMerge/>
            <w:shd w:val="clear" w:color="auto" w:fill="D9D9D9" w:themeFill="background1" w:themeFillShade="D9"/>
            <w:textDirection w:val="btLr"/>
          </w:tcPr>
          <w:p w:rsidR="006A6577" w:rsidRPr="00616763" w:rsidRDefault="006A6577" w:rsidP="00CD6642">
            <w:pPr>
              <w:ind w:left="113" w:right="113"/>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30. </w:t>
            </w:r>
            <w:r w:rsidRPr="00616763">
              <w:rPr>
                <w:sz w:val="22"/>
                <w:szCs w:val="22"/>
              </w:rPr>
              <w:t>Evaluate E</w:t>
            </w:r>
            <w:r>
              <w:rPr>
                <w:sz w:val="22"/>
                <w:szCs w:val="22"/>
              </w:rPr>
              <w:t xml:space="preserve">uropean </w:t>
            </w:r>
            <w:r w:rsidRPr="00616763">
              <w:rPr>
                <w:sz w:val="22"/>
                <w:szCs w:val="22"/>
              </w:rPr>
              <w:t>S</w:t>
            </w:r>
            <w:r>
              <w:rPr>
                <w:sz w:val="22"/>
                <w:szCs w:val="22"/>
              </w:rPr>
              <w:t xml:space="preserve">ocial </w:t>
            </w:r>
            <w:r w:rsidRPr="00616763">
              <w:rPr>
                <w:sz w:val="22"/>
                <w:szCs w:val="22"/>
              </w:rPr>
              <w:t>F</w:t>
            </w:r>
            <w:r>
              <w:rPr>
                <w:sz w:val="22"/>
                <w:szCs w:val="22"/>
              </w:rPr>
              <w:t>und</w:t>
            </w:r>
            <w:r w:rsidRPr="00616763">
              <w:rPr>
                <w:sz w:val="22"/>
                <w:szCs w:val="22"/>
              </w:rPr>
              <w:t xml:space="preserve"> project.</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Jul 15 to Sep 15</w:t>
            </w:r>
          </w:p>
        </w:tc>
        <w:tc>
          <w:tcPr>
            <w:tcW w:w="4536" w:type="dxa"/>
            <w:shd w:val="clear" w:color="auto" w:fill="D9D9D9" w:themeFill="background1" w:themeFillShade="D9"/>
          </w:tcPr>
          <w:p w:rsidR="006A6577" w:rsidRDefault="006A6577" w:rsidP="00CD6642">
            <w:pPr>
              <w:rPr>
                <w:sz w:val="22"/>
                <w:szCs w:val="22"/>
              </w:rPr>
            </w:pPr>
            <w:r w:rsidRPr="00616763">
              <w:rPr>
                <w:sz w:val="22"/>
                <w:szCs w:val="22"/>
              </w:rPr>
              <w:t>Learning from the project and the partnership legacy are incorporated into business as usual processes.</w:t>
            </w:r>
          </w:p>
          <w:p w:rsidR="006A6577" w:rsidRPr="00616763" w:rsidRDefault="006A6577" w:rsidP="00CD6642">
            <w:pPr>
              <w:rPr>
                <w:sz w:val="22"/>
                <w:szCs w:val="22"/>
              </w:rPr>
            </w:pP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Welfare Reform Manager</w:t>
            </w:r>
          </w:p>
        </w:tc>
        <w:tc>
          <w:tcPr>
            <w:tcW w:w="1985" w:type="dxa"/>
            <w:shd w:val="clear" w:color="auto" w:fill="D9D9D9" w:themeFill="background1" w:themeFillShade="D9"/>
          </w:tcPr>
          <w:p w:rsidR="006A6577" w:rsidRPr="00616763" w:rsidRDefault="006A6577" w:rsidP="00CD6642">
            <w:pPr>
              <w:rPr>
                <w:sz w:val="22"/>
                <w:szCs w:val="22"/>
              </w:rPr>
            </w:pPr>
            <w:r w:rsidRPr="00616763">
              <w:rPr>
                <w:sz w:val="22"/>
                <w:szCs w:val="22"/>
              </w:rPr>
              <w:t>N/A</w:t>
            </w:r>
          </w:p>
        </w:tc>
      </w:tr>
      <w:tr w:rsidR="006A6577" w:rsidRPr="00616763" w:rsidTr="00CD6642">
        <w:trPr>
          <w:cantSplit/>
          <w:trHeight w:val="758"/>
        </w:trPr>
        <w:tc>
          <w:tcPr>
            <w:tcW w:w="1135" w:type="dxa"/>
            <w:vMerge/>
            <w:shd w:val="clear" w:color="auto" w:fill="D9D9D9" w:themeFill="background1" w:themeFillShade="D9"/>
            <w:textDirection w:val="btLr"/>
          </w:tcPr>
          <w:p w:rsidR="006A6577" w:rsidRPr="00616763" w:rsidRDefault="006A6577" w:rsidP="00CD6642">
            <w:pPr>
              <w:ind w:left="113" w:right="113"/>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31. Support NEET prevention work through the Business in the Community programme</w:t>
            </w:r>
          </w:p>
        </w:tc>
        <w:tc>
          <w:tcPr>
            <w:tcW w:w="1701" w:type="dxa"/>
            <w:shd w:val="clear" w:color="auto" w:fill="D9D9D9" w:themeFill="background1" w:themeFillShade="D9"/>
          </w:tcPr>
          <w:p w:rsidR="006A6577" w:rsidRPr="00616763" w:rsidRDefault="006A6577" w:rsidP="00CD6642">
            <w:pPr>
              <w:rPr>
                <w:sz w:val="22"/>
                <w:szCs w:val="22"/>
              </w:rPr>
            </w:pPr>
            <w:r>
              <w:rPr>
                <w:sz w:val="22"/>
                <w:szCs w:val="22"/>
              </w:rPr>
              <w:t>Sep 15 to Jul 16</w:t>
            </w:r>
          </w:p>
        </w:tc>
        <w:tc>
          <w:tcPr>
            <w:tcW w:w="4536" w:type="dxa"/>
            <w:shd w:val="clear" w:color="auto" w:fill="D9D9D9" w:themeFill="background1" w:themeFillShade="D9"/>
          </w:tcPr>
          <w:p w:rsidR="006A6577" w:rsidRDefault="006A6577" w:rsidP="00CD6642">
            <w:pPr>
              <w:rPr>
                <w:sz w:val="22"/>
                <w:szCs w:val="22"/>
              </w:rPr>
            </w:pPr>
            <w:r>
              <w:rPr>
                <w:sz w:val="22"/>
                <w:szCs w:val="22"/>
              </w:rPr>
              <w:t>Increase awareness of apprenticeships and vocational career pathways in schools.</w:t>
            </w:r>
          </w:p>
          <w:p w:rsidR="006A6577" w:rsidRDefault="006A6577" w:rsidP="00CD6642">
            <w:pPr>
              <w:rPr>
                <w:sz w:val="22"/>
                <w:szCs w:val="22"/>
              </w:rPr>
            </w:pPr>
            <w:r>
              <w:rPr>
                <w:sz w:val="22"/>
                <w:szCs w:val="22"/>
              </w:rPr>
              <w:t>Coaching and mentoring to support pupils as they transition through school.</w:t>
            </w:r>
          </w:p>
          <w:p w:rsidR="006A6577" w:rsidRPr="00616763" w:rsidRDefault="006A6577" w:rsidP="00CD6642">
            <w:pPr>
              <w:rPr>
                <w:sz w:val="22"/>
                <w:szCs w:val="22"/>
              </w:rPr>
            </w:pPr>
          </w:p>
        </w:tc>
        <w:tc>
          <w:tcPr>
            <w:tcW w:w="2268" w:type="dxa"/>
            <w:shd w:val="clear" w:color="auto" w:fill="D9D9D9" w:themeFill="background1" w:themeFillShade="D9"/>
          </w:tcPr>
          <w:p w:rsidR="006A6577" w:rsidRPr="00616763" w:rsidRDefault="006A6577" w:rsidP="00CD6642">
            <w:pPr>
              <w:rPr>
                <w:sz w:val="22"/>
                <w:szCs w:val="22"/>
              </w:rPr>
            </w:pPr>
            <w:r>
              <w:rPr>
                <w:sz w:val="22"/>
                <w:szCs w:val="22"/>
              </w:rPr>
              <w:t>Head of Community Services, Youth Ambition, Positive Futures</w:t>
            </w:r>
          </w:p>
        </w:tc>
        <w:tc>
          <w:tcPr>
            <w:tcW w:w="1985" w:type="dxa"/>
            <w:shd w:val="clear" w:color="auto" w:fill="D9D9D9" w:themeFill="background1" w:themeFillShade="D9"/>
          </w:tcPr>
          <w:p w:rsidR="006A6577" w:rsidRDefault="006A6577" w:rsidP="00CD6642">
            <w:pPr>
              <w:rPr>
                <w:sz w:val="22"/>
                <w:szCs w:val="22"/>
              </w:rPr>
            </w:pPr>
            <w:r>
              <w:rPr>
                <w:sz w:val="22"/>
                <w:szCs w:val="22"/>
              </w:rPr>
              <w:t>Local Schools</w:t>
            </w:r>
          </w:p>
          <w:p w:rsidR="006A6577" w:rsidRPr="00616763" w:rsidRDefault="006A6577" w:rsidP="00CD6642">
            <w:pPr>
              <w:rPr>
                <w:sz w:val="22"/>
                <w:szCs w:val="22"/>
              </w:rPr>
            </w:pPr>
            <w:r>
              <w:rPr>
                <w:sz w:val="22"/>
                <w:szCs w:val="22"/>
              </w:rPr>
              <w:t>BITC</w:t>
            </w:r>
          </w:p>
        </w:tc>
      </w:tr>
      <w:tr w:rsidR="006A6577" w:rsidRPr="00616763" w:rsidTr="00CD6642">
        <w:trPr>
          <w:cantSplit/>
          <w:trHeight w:val="752"/>
        </w:trPr>
        <w:tc>
          <w:tcPr>
            <w:tcW w:w="1135" w:type="dxa"/>
            <w:vMerge/>
            <w:shd w:val="clear" w:color="auto" w:fill="D9D9D9" w:themeFill="background1" w:themeFillShade="D9"/>
            <w:textDirection w:val="btLr"/>
          </w:tcPr>
          <w:p w:rsidR="006A6577" w:rsidRPr="00616763" w:rsidRDefault="006A6577" w:rsidP="00CD6642">
            <w:pPr>
              <w:ind w:left="113" w:right="113"/>
              <w:rPr>
                <w:sz w:val="22"/>
                <w:szCs w:val="22"/>
              </w:rPr>
            </w:pPr>
          </w:p>
        </w:tc>
        <w:tc>
          <w:tcPr>
            <w:tcW w:w="3827" w:type="dxa"/>
            <w:shd w:val="clear" w:color="auto" w:fill="D9D9D9" w:themeFill="background1" w:themeFillShade="D9"/>
          </w:tcPr>
          <w:p w:rsidR="006A6577" w:rsidRPr="00616763" w:rsidRDefault="006A6577" w:rsidP="00CD6642">
            <w:pPr>
              <w:rPr>
                <w:sz w:val="22"/>
                <w:szCs w:val="22"/>
              </w:rPr>
            </w:pPr>
            <w:r>
              <w:rPr>
                <w:sz w:val="22"/>
                <w:szCs w:val="22"/>
              </w:rPr>
              <w:t xml:space="preserve">32. </w:t>
            </w:r>
            <w:r w:rsidRPr="00616763">
              <w:rPr>
                <w:sz w:val="22"/>
                <w:szCs w:val="22"/>
              </w:rPr>
              <w:t>Provide study space and access to the internet in community owned spaces.</w:t>
            </w:r>
          </w:p>
        </w:tc>
        <w:tc>
          <w:tcPr>
            <w:tcW w:w="1701" w:type="dxa"/>
            <w:shd w:val="clear" w:color="auto" w:fill="D9D9D9" w:themeFill="background1" w:themeFillShade="D9"/>
          </w:tcPr>
          <w:p w:rsidR="006A6577" w:rsidRPr="00616763" w:rsidRDefault="006A6577" w:rsidP="00CD6642">
            <w:pPr>
              <w:rPr>
                <w:sz w:val="22"/>
                <w:szCs w:val="22"/>
              </w:rPr>
            </w:pPr>
            <w:r w:rsidRPr="00616763">
              <w:rPr>
                <w:sz w:val="22"/>
                <w:szCs w:val="22"/>
              </w:rPr>
              <w:t>Sep 15 to Feb 16</w:t>
            </w:r>
          </w:p>
        </w:tc>
        <w:tc>
          <w:tcPr>
            <w:tcW w:w="4536" w:type="dxa"/>
            <w:shd w:val="clear" w:color="auto" w:fill="D9D9D9" w:themeFill="background1" w:themeFillShade="D9"/>
          </w:tcPr>
          <w:p w:rsidR="006A6577" w:rsidRPr="00616763" w:rsidRDefault="006A6577" w:rsidP="00CD6642">
            <w:pPr>
              <w:rPr>
                <w:sz w:val="22"/>
                <w:szCs w:val="22"/>
              </w:rPr>
            </w:pPr>
            <w:r w:rsidRPr="00616763">
              <w:rPr>
                <w:sz w:val="22"/>
                <w:szCs w:val="22"/>
              </w:rPr>
              <w:t>Limit the impact of overcrowding and/or digital exclusion on educational achievement.</w:t>
            </w:r>
          </w:p>
        </w:tc>
        <w:tc>
          <w:tcPr>
            <w:tcW w:w="2268" w:type="dxa"/>
            <w:shd w:val="clear" w:color="auto" w:fill="D9D9D9" w:themeFill="background1" w:themeFillShade="D9"/>
          </w:tcPr>
          <w:p w:rsidR="006A6577" w:rsidRPr="00616763" w:rsidRDefault="006A6577" w:rsidP="00CD6642">
            <w:pPr>
              <w:rPr>
                <w:sz w:val="22"/>
                <w:szCs w:val="22"/>
              </w:rPr>
            </w:pPr>
            <w:r w:rsidRPr="00616763">
              <w:rPr>
                <w:sz w:val="22"/>
                <w:szCs w:val="22"/>
              </w:rPr>
              <w:t>Housing Service Development Officer</w:t>
            </w:r>
          </w:p>
        </w:tc>
        <w:tc>
          <w:tcPr>
            <w:tcW w:w="1985" w:type="dxa"/>
            <w:shd w:val="clear" w:color="auto" w:fill="D9D9D9" w:themeFill="background1" w:themeFillShade="D9"/>
          </w:tcPr>
          <w:p w:rsidR="006A6577" w:rsidRPr="00616763" w:rsidRDefault="006A6577" w:rsidP="00CD6642">
            <w:pPr>
              <w:rPr>
                <w:sz w:val="22"/>
                <w:szCs w:val="22"/>
              </w:rPr>
            </w:pPr>
            <w:r w:rsidRPr="00616763">
              <w:rPr>
                <w:sz w:val="22"/>
                <w:szCs w:val="22"/>
              </w:rPr>
              <w:t>Various</w:t>
            </w:r>
          </w:p>
        </w:tc>
      </w:tr>
    </w:tbl>
    <w:p w:rsidR="006A6577" w:rsidRDefault="006A6577" w:rsidP="006A6577">
      <w:pPr>
        <w:rPr>
          <w:rFonts w:eastAsiaTheme="minorHAnsi" w:cs="Arial"/>
          <w:b/>
        </w:rPr>
      </w:pPr>
    </w:p>
    <w:p w:rsidR="006A6577" w:rsidRDefault="006A6577" w:rsidP="006A6577">
      <w:pPr>
        <w:rPr>
          <w:rFonts w:eastAsiaTheme="minorHAnsi" w:cs="Arial"/>
          <w:b/>
        </w:rPr>
      </w:pPr>
    </w:p>
    <w:p w:rsidR="008A22C6" w:rsidRPr="008A22C6" w:rsidRDefault="008A22C6" w:rsidP="008A22C6"/>
    <w:sectPr w:rsidR="008A22C6" w:rsidRPr="008A22C6" w:rsidSect="006A65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77"/>
    <w:rsid w:val="000B4310"/>
    <w:rsid w:val="004000D7"/>
    <w:rsid w:val="00504E43"/>
    <w:rsid w:val="006A6577"/>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7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1">
    <w:name w:val="Table Grid21"/>
    <w:basedOn w:val="TableNormal"/>
    <w:next w:val="TableGrid"/>
    <w:uiPriority w:val="59"/>
    <w:rsid w:val="006A6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A6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7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1">
    <w:name w:val="Table Grid21"/>
    <w:basedOn w:val="TableNormal"/>
    <w:next w:val="TableGrid"/>
    <w:uiPriority w:val="59"/>
    <w:rsid w:val="006A6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A6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AECB-4370-42DB-B4DA-6C997A1E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3569ADA4</Template>
  <TotalTime>1</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1</cp:revision>
  <dcterms:created xsi:type="dcterms:W3CDTF">2015-09-25T11:38:00Z</dcterms:created>
  <dcterms:modified xsi:type="dcterms:W3CDTF">2015-09-25T11:39:00Z</dcterms:modified>
</cp:coreProperties>
</file>